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422" w:type="pct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81261" w:rsidRPr="003813EB" w14:paraId="47909B7A" w14:textId="77777777" w:rsidTr="00B81261">
        <w:trPr>
          <w:trHeight w:val="703"/>
        </w:trPr>
        <w:tc>
          <w:tcPr>
            <w:tcW w:w="5000" w:type="pct"/>
            <w:shd w:val="clear" w:color="auto" w:fill="4F6228" w:themeFill="accent3" w:themeFillShade="80"/>
            <w:vAlign w:val="center"/>
          </w:tcPr>
          <w:p w14:paraId="54AE8E29" w14:textId="77777777" w:rsidR="00B81261" w:rsidRPr="003813EB" w:rsidRDefault="00B81261" w:rsidP="00B81261">
            <w:pPr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</w:pPr>
            <w:r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  <w:t>FALAISES</w:t>
            </w:r>
          </w:p>
        </w:tc>
      </w:tr>
      <w:tr w:rsidR="00B81261" w:rsidRPr="003813EB" w14:paraId="2D2D5AA5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11A97655" w14:textId="77777777" w:rsidR="00B81261" w:rsidRPr="003813EB" w:rsidRDefault="00B81261" w:rsidP="00B81261">
            <w:pPr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</w:pPr>
            <w:r w:rsidRPr="003813EB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Définition</w:t>
            </w:r>
          </w:p>
        </w:tc>
      </w:tr>
      <w:tr w:rsidR="00B81261" w:rsidRPr="00B81261" w14:paraId="23411765" w14:textId="77777777" w:rsidTr="00F951D0">
        <w:trPr>
          <w:trHeight w:val="1287"/>
        </w:trPr>
        <w:tc>
          <w:tcPr>
            <w:tcW w:w="5000" w:type="pct"/>
            <w:vAlign w:val="center"/>
          </w:tcPr>
          <w:p w14:paraId="3FFB3585" w14:textId="1B2A5D8D" w:rsidR="00B81261" w:rsidRPr="00B81261" w:rsidRDefault="00B81261" w:rsidP="00B81261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81261">
              <w:rPr>
                <w:rFonts w:ascii="Arial Rounded MT Bold" w:hAnsi="Arial Rounded MT Bold" w:cs="Times New Roman"/>
                <w:sz w:val="20"/>
                <w:szCs w:val="20"/>
              </w:rPr>
              <w:t>Les falaises</w:t>
            </w:r>
            <w:r w:rsidR="00BE2F4F">
              <w:rPr>
                <w:rFonts w:ascii="Arial Rounded MT Bold" w:hAnsi="Arial Rounded MT Bold" w:cs="Times New Roman"/>
                <w:sz w:val="20"/>
                <w:szCs w:val="20"/>
              </w:rPr>
              <w:t xml:space="preserve"> sont des systèmes comprenant un versant et une plateforme, ils</w:t>
            </w:r>
            <w:r w:rsidRPr="00B81261">
              <w:rPr>
                <w:rFonts w:ascii="Arial Rounded MT Bold" w:hAnsi="Arial Rounded MT Bold" w:cs="Times New Roman"/>
                <w:sz w:val="20"/>
                <w:szCs w:val="20"/>
              </w:rPr>
              <w:t xml:space="preserve"> se distinguent par la diversité de leurs formes en relation étroite avec leurs structures géologiques (nature -calcaire, marne, argile, granite, …-, épaisseur et superposition des couches) et leurs vitesses d’évolution (de quelques millimètres à plusieurs décimètres à mètres par année). </w:t>
            </w:r>
          </w:p>
        </w:tc>
      </w:tr>
      <w:tr w:rsidR="00B81261" w:rsidRPr="00B81261" w14:paraId="7CC1DC81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132B3CA2" w14:textId="77777777" w:rsidR="00B81261" w:rsidRPr="00B81261" w:rsidRDefault="00B81261" w:rsidP="00B81261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Types de falaises</w:t>
            </w:r>
            <w:r w:rsidRPr="00B81261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</w:tc>
      </w:tr>
      <w:tr w:rsidR="00B81261" w:rsidRPr="00B81261" w14:paraId="4C58DE6E" w14:textId="77777777" w:rsidTr="00B81261">
        <w:trPr>
          <w:trHeight w:val="995"/>
        </w:trPr>
        <w:tc>
          <w:tcPr>
            <w:tcW w:w="5000" w:type="pct"/>
            <w:vAlign w:val="center"/>
          </w:tcPr>
          <w:p w14:paraId="34352FE8" w14:textId="77777777" w:rsidR="00B81261" w:rsidRPr="00B81261" w:rsidRDefault="00B81261" w:rsidP="00B8126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81261">
              <w:rPr>
                <w:rFonts w:ascii="Arial Rounded MT Bold" w:hAnsi="Arial Rounded MT Bold" w:cs="Times New Roman"/>
                <w:sz w:val="20"/>
                <w:szCs w:val="20"/>
              </w:rPr>
              <w:t xml:space="preserve">Falaises vives (instables et régulièrement battues par la mer), </w:t>
            </w:r>
          </w:p>
          <w:p w14:paraId="777BB89C" w14:textId="77777777" w:rsidR="00B81261" w:rsidRPr="00B81261" w:rsidRDefault="00B81261" w:rsidP="00B8126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81261">
              <w:rPr>
                <w:rFonts w:ascii="Arial Rounded MT Bold" w:hAnsi="Arial Rounded MT Bold" w:cs="Times New Roman"/>
                <w:sz w:val="20"/>
                <w:szCs w:val="20"/>
              </w:rPr>
              <w:t xml:space="preserve">Falaises ‘mortes’ (qui ne sont plus atteintes par la mer) </w:t>
            </w:r>
          </w:p>
          <w:p w14:paraId="60663700" w14:textId="77777777" w:rsidR="00B81261" w:rsidRPr="00B81261" w:rsidRDefault="00B81261" w:rsidP="00B8126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81261">
              <w:rPr>
                <w:rFonts w:ascii="Arial Rounded MT Bold" w:hAnsi="Arial Rounded MT Bold" w:cs="Times New Roman"/>
                <w:sz w:val="20"/>
                <w:szCs w:val="20"/>
              </w:rPr>
              <w:t xml:space="preserve">falaises en voie de stabilisation. </w:t>
            </w:r>
          </w:p>
        </w:tc>
      </w:tr>
      <w:tr w:rsidR="00B81261" w:rsidRPr="00B81261" w14:paraId="7F5456AF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0859FD3A" w14:textId="77777777" w:rsidR="00B81261" w:rsidRPr="00B81261" w:rsidRDefault="00B81261" w:rsidP="00B81261">
            <w:pPr>
              <w:rPr>
                <w:rFonts w:ascii="Arial Rounded MT Bold" w:hAnsi="Arial Rounded MT Bold"/>
                <w:color w:val="1F497D" w:themeColor="text2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Forçages naturels</w:t>
            </w:r>
          </w:p>
        </w:tc>
      </w:tr>
      <w:tr w:rsidR="00B81261" w:rsidRPr="00B81261" w14:paraId="31484275" w14:textId="77777777" w:rsidTr="00B81261">
        <w:tc>
          <w:tcPr>
            <w:tcW w:w="5000" w:type="pct"/>
            <w:shd w:val="clear" w:color="auto" w:fill="C2D69B" w:themeFill="accent3" w:themeFillTint="99"/>
            <w:vAlign w:val="center"/>
          </w:tcPr>
          <w:p w14:paraId="618E75C0" w14:textId="77777777" w:rsidR="00B81261" w:rsidRPr="00B81261" w:rsidRDefault="00B81261" w:rsidP="00B81261">
            <w:pPr>
              <w:ind w:firstLine="709"/>
              <w:rPr>
                <w:rFonts w:ascii="Arial Rounded MT Bold" w:hAnsi="Arial Rounded MT Bold"/>
                <w:color w:val="FFFFFF" w:themeColor="background1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</w:rPr>
              <w:t>marins:</w:t>
            </w:r>
          </w:p>
        </w:tc>
      </w:tr>
      <w:tr w:rsidR="00B81261" w:rsidRPr="00B81261" w14:paraId="1BAFEDC4" w14:textId="77777777" w:rsidTr="00F951D0">
        <w:trPr>
          <w:trHeight w:val="1576"/>
        </w:trPr>
        <w:tc>
          <w:tcPr>
            <w:tcW w:w="5000" w:type="pct"/>
            <w:vAlign w:val="center"/>
          </w:tcPr>
          <w:p w14:paraId="5623291F" w14:textId="3AE8FFCB" w:rsidR="00F951D0" w:rsidRDefault="00F951D0" w:rsidP="006C6C0C">
            <w:pPr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Il existe des actions mécaniques, physico-chimiques et biologiques.</w:t>
            </w:r>
          </w:p>
          <w:p w14:paraId="3C2A5813" w14:textId="77777777" w:rsidR="006C6C0C" w:rsidRDefault="006C6C0C" w:rsidP="006C6C0C">
            <w:pPr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En pied de falaises, l’action des vagues (houles) entraine :</w:t>
            </w:r>
          </w:p>
          <w:p w14:paraId="3F819503" w14:textId="77777777" w:rsidR="006C6C0C" w:rsidRPr="006C6C0C" w:rsidRDefault="00B81261" w:rsidP="006C6C0C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une érosion sous-marine (estran avec </w:t>
            </w:r>
            <w:r w:rsidR="006C6C0C"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parfois un platier rocheux), </w:t>
            </w:r>
          </w:p>
          <w:p w14:paraId="693E7233" w14:textId="6A7900BF" w:rsidR="00BE2F4F" w:rsidRPr="00F951D0" w:rsidRDefault="00B81261" w:rsidP="00BE2F4F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une érosion aérienne de la base de la falaise (impact des houles) se traduisant parfois par des </w:t>
            </w:r>
            <w:proofErr w:type="spellStart"/>
            <w:r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sous-cavages</w:t>
            </w:r>
            <w:proofErr w:type="spellEnd"/>
            <w:r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. Ces derniers peuvent entrainer une déstabilisation de la paroi sus-jacente. </w:t>
            </w:r>
          </w:p>
        </w:tc>
      </w:tr>
      <w:tr w:rsidR="00B81261" w:rsidRPr="00B81261" w14:paraId="296F2CCF" w14:textId="77777777" w:rsidTr="00B81261">
        <w:tc>
          <w:tcPr>
            <w:tcW w:w="5000" w:type="pct"/>
            <w:shd w:val="clear" w:color="auto" w:fill="C2D69B" w:themeFill="accent3" w:themeFillTint="99"/>
            <w:vAlign w:val="center"/>
          </w:tcPr>
          <w:p w14:paraId="47412682" w14:textId="77777777" w:rsidR="00B81261" w:rsidRPr="00B81261" w:rsidRDefault="00B81261" w:rsidP="00B81261">
            <w:pPr>
              <w:ind w:firstLine="709"/>
              <w:rPr>
                <w:rFonts w:ascii="Arial Rounded MT Bold" w:hAnsi="Arial Rounded MT Bold"/>
                <w:color w:val="FFFFFF" w:themeColor="background1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</w:rPr>
              <w:t>Subaériens ;</w:t>
            </w:r>
          </w:p>
        </w:tc>
      </w:tr>
      <w:tr w:rsidR="00B81261" w:rsidRPr="00B81261" w14:paraId="696B6801" w14:textId="77777777" w:rsidTr="00F951D0">
        <w:trPr>
          <w:trHeight w:val="1440"/>
        </w:trPr>
        <w:tc>
          <w:tcPr>
            <w:tcW w:w="5000" w:type="pct"/>
            <w:vAlign w:val="center"/>
          </w:tcPr>
          <w:p w14:paraId="6C4F7408" w14:textId="77777777" w:rsidR="00F951D0" w:rsidRDefault="00F951D0" w:rsidP="00F951D0">
            <w:pPr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Il existe des actions mécaniques, physico-chimiques et biologiques.</w:t>
            </w:r>
          </w:p>
          <w:p w14:paraId="2916C409" w14:textId="77777777" w:rsidR="00B81261" w:rsidRPr="00B81261" w:rsidRDefault="006C6C0C" w:rsidP="00B81261">
            <w:pPr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S</w:t>
            </w:r>
            <w:r w:rsidR="00B81261" w:rsidRPr="00B81261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ur la p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aroi de la falaise et à l’amont,  s</w:t>
            </w:r>
            <w:r w:rsidR="00B81261" w:rsidRPr="00B81261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elon 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le climat, des</w:t>
            </w:r>
            <w:r w:rsidR="00B81261" w:rsidRPr="00B81261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actions chimiques et mécaniques 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entraînent </w:t>
            </w:r>
            <w:r w:rsidR="00B81261" w:rsidRPr="00B81261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une dégradation ou météorisation de la roche, et vont favoriser ou non une infiltration ou un ruissellement des eaux météoriques (alimentation de nappes phréatiques, augmentation des pressions interstitielles, coulées boueuses</w:t>
            </w:r>
            <w:proofErr w:type="gramStart"/>
            <w:r w:rsidR="00B81261" w:rsidRPr="00B81261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, …)</w:t>
            </w:r>
            <w:proofErr w:type="gramEnd"/>
            <w:r w:rsidR="00B81261" w:rsidRPr="00B81261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. </w:t>
            </w:r>
          </w:p>
        </w:tc>
      </w:tr>
      <w:tr w:rsidR="00B81261" w:rsidRPr="00B81261" w14:paraId="0B79248D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5881ED4A" w14:textId="77777777" w:rsidR="00B81261" w:rsidRPr="00B81261" w:rsidRDefault="00B81261" w:rsidP="00B81261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Pressions anthropiques</w:t>
            </w:r>
          </w:p>
        </w:tc>
      </w:tr>
      <w:tr w:rsidR="00B81261" w:rsidRPr="00B81261" w14:paraId="619BDBD5" w14:textId="77777777" w:rsidTr="006C6C0C">
        <w:trPr>
          <w:trHeight w:val="1114"/>
        </w:trPr>
        <w:tc>
          <w:tcPr>
            <w:tcW w:w="5000" w:type="pct"/>
            <w:vAlign w:val="center"/>
          </w:tcPr>
          <w:p w14:paraId="417BE195" w14:textId="77777777" w:rsidR="006C6C0C" w:rsidRDefault="00B81261" w:rsidP="006C6C0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6C6C0C">
              <w:rPr>
                <w:rFonts w:ascii="Arial Rounded MT Bold" w:hAnsi="Arial Rounded MT Bold" w:cs="Times New Roman"/>
                <w:sz w:val="20"/>
                <w:szCs w:val="20"/>
              </w:rPr>
              <w:t>Aménagements non adaptés : rejet des eaux de ruissellement, surcharge, remblai/déblai, perturbation des transits littoraux, etc.</w:t>
            </w:r>
          </w:p>
          <w:p w14:paraId="4889D8FC" w14:textId="77777777" w:rsidR="006C6C0C" w:rsidRPr="006C6C0C" w:rsidRDefault="006C6C0C" w:rsidP="006C6C0C">
            <w:pPr>
              <w:pStyle w:val="Paragraphedeliste"/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14:paraId="6B561CCD" w14:textId="77777777" w:rsidR="00B81261" w:rsidRPr="006C6C0C" w:rsidRDefault="00B81261" w:rsidP="006C6C0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6C6C0C">
              <w:rPr>
                <w:rFonts w:ascii="Arial Rounded MT Bold" w:hAnsi="Arial Rounded MT Bold" w:cs="Times New Roman"/>
                <w:sz w:val="20"/>
                <w:szCs w:val="20"/>
              </w:rPr>
              <w:t>Pratiques : exploitation des sables et galets, etc.</w:t>
            </w:r>
          </w:p>
        </w:tc>
      </w:tr>
      <w:tr w:rsidR="00B81261" w:rsidRPr="00B81261" w14:paraId="3AAFE27B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334D61DB" w14:textId="77777777" w:rsidR="00B81261" w:rsidRPr="00B81261" w:rsidRDefault="00B81261" w:rsidP="00B81261">
            <w:pPr>
              <w:rPr>
                <w:rFonts w:ascii="Arial Rounded MT Bold" w:hAnsi="Arial Rounded MT Bold"/>
                <w:color w:val="1F497D" w:themeColor="text2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Evolutions morphologiques</w:t>
            </w:r>
          </w:p>
        </w:tc>
      </w:tr>
      <w:tr w:rsidR="00B81261" w:rsidRPr="00B81261" w14:paraId="64A65DD3" w14:textId="77777777" w:rsidTr="006C6C0C">
        <w:trPr>
          <w:trHeight w:val="2484"/>
        </w:trPr>
        <w:tc>
          <w:tcPr>
            <w:tcW w:w="5000" w:type="pct"/>
            <w:vAlign w:val="center"/>
          </w:tcPr>
          <w:p w14:paraId="08904CF2" w14:textId="77777777" w:rsidR="006C6C0C" w:rsidRDefault="00B81261" w:rsidP="00B81261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81261">
              <w:rPr>
                <w:rFonts w:ascii="Arial Rounded MT Bold" w:hAnsi="Arial Rounded MT Bold" w:cs="Times New Roman"/>
                <w:sz w:val="20"/>
                <w:szCs w:val="20"/>
              </w:rPr>
              <w:t>De manière générale, les falaises sont instables et reculent sous l’action combinée de facteurs naturels continentaux et marins (externes et internes).</w:t>
            </w:r>
            <w:r w:rsidR="006C6C0C">
              <w:rPr>
                <w:rFonts w:ascii="Arial Rounded MT Bold" w:hAnsi="Arial Rounded MT Bold" w:cs="Times New Roman"/>
                <w:sz w:val="20"/>
                <w:szCs w:val="20"/>
              </w:rPr>
              <w:t> </w:t>
            </w:r>
          </w:p>
          <w:p w14:paraId="22E4A599" w14:textId="77777777" w:rsidR="006C6C0C" w:rsidRPr="006C6C0C" w:rsidRDefault="006C6C0C" w:rsidP="006C6C0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Les processus marins (houles et courants côtiers) déblayent et redistribuent les matériaux fournis par la falaise et empêchent le versant d’acquérir un profil d’équilibre (falaise vive) </w:t>
            </w:r>
          </w:p>
          <w:p w14:paraId="38B1B593" w14:textId="77777777" w:rsidR="006C6C0C" w:rsidRPr="006C6C0C" w:rsidRDefault="006C6C0C" w:rsidP="006C6C0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Les processus subaériens peuvent conduire à une déstabilisation de tout ou partie de la falaise par mouvements hydro-gravitaires de masse (glissements, écroulements, chutes de blocs</w:t>
            </w:r>
            <w:proofErr w:type="gramStart"/>
            <w:r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, …)</w:t>
            </w:r>
            <w:proofErr w:type="gramEnd"/>
            <w:r w:rsidRPr="006C6C0C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ou particulaires (clastes de quelques mm à quelques cm).</w:t>
            </w:r>
          </w:p>
          <w:p w14:paraId="148F9DD3" w14:textId="77777777" w:rsidR="00B81261" w:rsidRPr="00B81261" w:rsidRDefault="00B81261" w:rsidP="00B81261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81261">
              <w:rPr>
                <w:rFonts w:ascii="Arial Rounded MT Bold" w:hAnsi="Arial Rounded MT Bold" w:cs="Times New Roman"/>
                <w:sz w:val="20"/>
                <w:szCs w:val="20"/>
              </w:rPr>
              <w:t>Ces facteurs sont préparatoires et/ou de prédisposition, ou bien sont des facteurs de déclenchement des instabilités selon les types de falaises et les conditions locales.</w:t>
            </w:r>
          </w:p>
        </w:tc>
      </w:tr>
      <w:tr w:rsidR="00B81261" w:rsidRPr="00B81261" w14:paraId="523F5AD9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5D6A4E01" w14:textId="77777777" w:rsidR="00B81261" w:rsidRPr="00B81261" w:rsidRDefault="00B81261" w:rsidP="00B81261">
            <w:pPr>
              <w:rPr>
                <w:rFonts w:ascii="Arial Rounded MT Bold" w:hAnsi="Arial Rounded MT Bold"/>
                <w:color w:val="1F497D" w:themeColor="text2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Echelle de temps</w:t>
            </w:r>
          </w:p>
        </w:tc>
      </w:tr>
      <w:tr w:rsidR="00B81261" w:rsidRPr="00B81261" w14:paraId="360D44ED" w14:textId="77777777" w:rsidTr="00F951D0">
        <w:trPr>
          <w:trHeight w:val="799"/>
        </w:trPr>
        <w:tc>
          <w:tcPr>
            <w:tcW w:w="5000" w:type="pct"/>
            <w:vAlign w:val="center"/>
          </w:tcPr>
          <w:p w14:paraId="638D128B" w14:textId="77777777" w:rsidR="00B81261" w:rsidRPr="00B81261" w:rsidRDefault="00B81261" w:rsidP="00B81261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B81261">
              <w:rPr>
                <w:rFonts w:ascii="Arial Rounded MT Bold" w:hAnsi="Arial Rounded MT Bold" w:cs="Times New Roman"/>
                <w:sz w:val="20"/>
                <w:szCs w:val="20"/>
              </w:rPr>
              <w:t>Si l’érosion des falaises est continue, leur recul s’opère par à coups sur des pas de temps pluri-décennaux</w:t>
            </w:r>
          </w:p>
        </w:tc>
      </w:tr>
    </w:tbl>
    <w:p w14:paraId="113F9F2C" w14:textId="77777777" w:rsidR="00F951D0" w:rsidRDefault="00F951D0">
      <w:r>
        <w:br w:type="page"/>
      </w:r>
      <w:bookmarkStart w:id="0" w:name="_GoBack"/>
      <w:bookmarkEnd w:id="0"/>
    </w:p>
    <w:tbl>
      <w:tblPr>
        <w:tblStyle w:val="Grille"/>
        <w:tblW w:w="5422" w:type="pct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81261" w:rsidRPr="00B81261" w14:paraId="1D2CC408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3619F730" w14:textId="3F1E8776" w:rsidR="00B81261" w:rsidRPr="00B81261" w:rsidRDefault="00B81261" w:rsidP="00B81261">
            <w:pPr>
              <w:rPr>
                <w:rFonts w:ascii="Arial Rounded MT Bold" w:hAnsi="Arial Rounded MT Bold"/>
                <w:color w:val="1F497D" w:themeColor="text2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lastRenderedPageBreak/>
              <w:t xml:space="preserve">Variables caractérisant le </w:t>
            </w:r>
            <w:proofErr w:type="spellStart"/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morphodynamisme</w:t>
            </w:r>
            <w:proofErr w:type="spellEnd"/>
          </w:p>
        </w:tc>
      </w:tr>
      <w:tr w:rsidR="00B81261" w:rsidRPr="00B81261" w14:paraId="32173CE7" w14:textId="77777777" w:rsidTr="006C6C0C">
        <w:trPr>
          <w:trHeight w:val="988"/>
        </w:trPr>
        <w:tc>
          <w:tcPr>
            <w:tcW w:w="5000" w:type="pct"/>
            <w:vAlign w:val="center"/>
          </w:tcPr>
          <w:p w14:paraId="30440491" w14:textId="77777777" w:rsidR="00F951D0" w:rsidRPr="00F951D0" w:rsidRDefault="00F951D0" w:rsidP="00F951D0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Interne/prédisposition :</w:t>
            </w:r>
          </w:p>
          <w:p w14:paraId="3C6FED04" w14:textId="77777777" w:rsidR="00000000" w:rsidRPr="00F951D0" w:rsidRDefault="00F951D0" w:rsidP="00F951D0">
            <w:pPr>
              <w:numPr>
                <w:ilvl w:val="0"/>
                <w:numId w:val="1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Topographie / morphologie 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fine du système falaises (versant et plateforme)</w:t>
            </w:r>
          </w:p>
          <w:p w14:paraId="2CE49117" w14:textId="77777777" w:rsidR="00000000" w:rsidRPr="00F951D0" w:rsidRDefault="00F951D0" w:rsidP="00F951D0">
            <w:pPr>
              <w:numPr>
                <w:ilvl w:val="0"/>
                <w:numId w:val="1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Caractéristiques physiques (rhéologie des matériaux)</w:t>
            </w:r>
          </w:p>
          <w:p w14:paraId="579EE2A4" w14:textId="77777777" w:rsidR="00000000" w:rsidRPr="00F951D0" w:rsidRDefault="00F951D0" w:rsidP="00F951D0">
            <w:pPr>
              <w:numPr>
                <w:ilvl w:val="0"/>
                <w:numId w:val="1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Hydrologie (souterraine et surface)</w:t>
            </w:r>
          </w:p>
          <w:p w14:paraId="05698BC4" w14:textId="77777777" w:rsidR="00000000" w:rsidRDefault="00F951D0" w:rsidP="00F951D0">
            <w:pPr>
              <w:numPr>
                <w:ilvl w:val="0"/>
                <w:numId w:val="16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Occupation du sol </w:t>
            </w:r>
          </w:p>
          <w:p w14:paraId="27DB8DF3" w14:textId="77777777" w:rsidR="00F951D0" w:rsidRPr="00F951D0" w:rsidRDefault="00F951D0" w:rsidP="00F951D0">
            <w:pPr>
              <w:ind w:left="720"/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14:paraId="08E5B536" w14:textId="6F659A40" w:rsidR="00F951D0" w:rsidRPr="00F951D0" w:rsidRDefault="00F951D0" w:rsidP="00F951D0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Forçages externes:</w:t>
            </w:r>
          </w:p>
          <w:p w14:paraId="1A72DC8C" w14:textId="77777777" w:rsidR="00000000" w:rsidRPr="00F951D0" w:rsidRDefault="00F951D0" w:rsidP="00F951D0">
            <w:pPr>
              <w:numPr>
                <w:ilvl w:val="0"/>
                <w:numId w:val="17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Conditions météo-marines (précipitations, températures, nappes, niveaux d’eau, état de mer)</w:t>
            </w:r>
          </w:p>
          <w:p w14:paraId="4383A473" w14:textId="77777777" w:rsidR="00000000" w:rsidRPr="00F951D0" w:rsidRDefault="00F951D0" w:rsidP="00F951D0">
            <w:pPr>
              <w:numPr>
                <w:ilvl w:val="0"/>
                <w:numId w:val="17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Anthropique (</w:t>
            </w:r>
            <w:r w:rsidRPr="00F951D0">
              <w:rPr>
                <w:rFonts w:ascii="Arial Rounded MT Bold" w:hAnsi="Arial Rounded MT Bold" w:cs="Times New Roman"/>
                <w:i/>
                <w:iCs/>
                <w:sz w:val="20"/>
                <w:szCs w:val="20"/>
              </w:rPr>
              <w:t xml:space="preserve">i.e. 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épis</w:t>
            </w:r>
            <w:proofErr w:type="gramStart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, …)</w:t>
            </w:r>
            <w:proofErr w:type="gramEnd"/>
          </w:p>
          <w:p w14:paraId="2C48B575" w14:textId="77777777" w:rsidR="00000000" w:rsidRPr="00F951D0" w:rsidRDefault="00F951D0" w:rsidP="00F951D0">
            <w:pPr>
              <w:numPr>
                <w:ilvl w:val="0"/>
                <w:numId w:val="17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Sismicité</w:t>
            </w:r>
          </w:p>
          <w:p w14:paraId="59692758" w14:textId="77777777" w:rsidR="00B81261" w:rsidRPr="00F951D0" w:rsidRDefault="00B81261" w:rsidP="00F951D0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B81261" w:rsidRPr="00B81261" w14:paraId="432F8298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40882CE7" w14:textId="77777777" w:rsidR="00B81261" w:rsidRPr="00B81261" w:rsidRDefault="00B81261" w:rsidP="00B81261">
            <w:pPr>
              <w:rPr>
                <w:rFonts w:ascii="Arial Rounded MT Bold" w:hAnsi="Arial Rounded MT Bold"/>
                <w:color w:val="1F497D" w:themeColor="text2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Mesures</w:t>
            </w:r>
          </w:p>
        </w:tc>
      </w:tr>
      <w:tr w:rsidR="00B81261" w:rsidRPr="00B81261" w14:paraId="10C0908C" w14:textId="77777777" w:rsidTr="00F951D0">
        <w:trPr>
          <w:trHeight w:val="2978"/>
        </w:trPr>
        <w:tc>
          <w:tcPr>
            <w:tcW w:w="5000" w:type="pct"/>
            <w:vAlign w:val="center"/>
          </w:tcPr>
          <w:p w14:paraId="4BAA985C" w14:textId="77777777" w:rsidR="00F951D0" w:rsidRPr="00F951D0" w:rsidRDefault="00F951D0" w:rsidP="00F951D0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Mesures topographiques fines</w:t>
            </w:r>
          </w:p>
          <w:p w14:paraId="6AA3D26B" w14:textId="77777777" w:rsidR="00000000" w:rsidRPr="00F951D0" w:rsidRDefault="00F951D0" w:rsidP="00F951D0">
            <w:pPr>
              <w:numPr>
                <w:ilvl w:val="0"/>
                <w:numId w:val="14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Imagerie aérienne &amp;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 spatiale, photogrammétrie, …</w:t>
            </w:r>
          </w:p>
          <w:p w14:paraId="29CC3A46" w14:textId="77777777" w:rsidR="00000000" w:rsidRPr="00F951D0" w:rsidRDefault="00F951D0" w:rsidP="00F951D0">
            <w:pPr>
              <w:numPr>
                <w:ilvl w:val="0"/>
                <w:numId w:val="14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Complémentarité scanner : ALS, MLS, TLS</w:t>
            </w:r>
          </w:p>
          <w:p w14:paraId="1AE45C62" w14:textId="77777777" w:rsidR="00000000" w:rsidRPr="00F951D0" w:rsidRDefault="00F951D0" w:rsidP="00F951D0">
            <w:pPr>
              <w:numPr>
                <w:ilvl w:val="0"/>
                <w:numId w:val="14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DGPS, </w:t>
            </w:r>
            <w:proofErr w:type="spellStart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Tachéo</w:t>
            </w:r>
            <w:proofErr w:type="spellEnd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, niveau topo, …</w:t>
            </w:r>
          </w:p>
          <w:p w14:paraId="45B8E3FB" w14:textId="77777777" w:rsidR="00000000" w:rsidRDefault="00F951D0" w:rsidP="00F951D0">
            <w:pPr>
              <w:numPr>
                <w:ilvl w:val="0"/>
                <w:numId w:val="14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Caméra en haut de falaise</w:t>
            </w:r>
          </w:p>
          <w:p w14:paraId="006BFAD4" w14:textId="77777777" w:rsidR="00F951D0" w:rsidRPr="00F951D0" w:rsidRDefault="00F951D0" w:rsidP="00F951D0">
            <w:pPr>
              <w:ind w:left="720"/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14:paraId="610EFFDB" w14:textId="77777777" w:rsidR="00F951D0" w:rsidRPr="00F951D0" w:rsidRDefault="00F951D0" w:rsidP="00F951D0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Mesures des facteurs de prédisposition et de forçage</w:t>
            </w:r>
          </w:p>
          <w:p w14:paraId="177A4F13" w14:textId="77777777" w:rsidR="00000000" w:rsidRPr="00F951D0" w:rsidRDefault="00F951D0" w:rsidP="00F951D0">
            <w:pPr>
              <w:numPr>
                <w:ilvl w:val="0"/>
                <w:numId w:val="15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Capteurs de pression (niveaux marins, états de mer, ondes de chocs, nappes </w:t>
            </w:r>
            <w:proofErr w:type="spellStart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phrétiques</w:t>
            </w:r>
            <w:proofErr w:type="spellEnd"/>
            <w:proofErr w:type="gramStart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, …)</w:t>
            </w:r>
            <w:proofErr w:type="gramEnd"/>
          </w:p>
          <w:p w14:paraId="4A384F90" w14:textId="77777777" w:rsidR="00000000" w:rsidRPr="00F951D0" w:rsidRDefault="00F951D0" w:rsidP="00F951D0">
            <w:pPr>
              <w:numPr>
                <w:ilvl w:val="0"/>
                <w:numId w:val="15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Caméra en haut de falaise</w:t>
            </w:r>
          </w:p>
          <w:p w14:paraId="6D5121F9" w14:textId="77777777" w:rsidR="00000000" w:rsidRPr="00F951D0" w:rsidRDefault="00F951D0" w:rsidP="00F951D0">
            <w:pPr>
              <w:numPr>
                <w:ilvl w:val="0"/>
                <w:numId w:val="15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Labo </w:t>
            </w:r>
            <w:proofErr w:type="spellStart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sédimento</w:t>
            </w:r>
            <w:proofErr w:type="spellEnd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, mécanique des sols,</w:t>
            </w:r>
          </w:p>
          <w:p w14:paraId="10B1D18C" w14:textId="752DFDBC" w:rsidR="00B81261" w:rsidRPr="00F951D0" w:rsidRDefault="00F951D0" w:rsidP="00F951D0">
            <w:pPr>
              <w:numPr>
                <w:ilvl w:val="0"/>
                <w:numId w:val="15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Utilisa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tion des chroniques Météo-France, </w:t>
            </w:r>
            <w:proofErr w:type="spellStart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Shom</w:t>
            </w:r>
            <w:proofErr w:type="spellEnd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proofErr w:type="spellStart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BDhydro</w:t>
            </w:r>
            <w:proofErr w:type="spellEnd"/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…</w:t>
            </w:r>
          </w:p>
        </w:tc>
      </w:tr>
      <w:tr w:rsidR="00B81261" w:rsidRPr="00B81261" w14:paraId="3B4B7124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46761689" w14:textId="77777777" w:rsidR="00B81261" w:rsidRPr="00B81261" w:rsidRDefault="00B81261" w:rsidP="00B81261">
            <w:pPr>
              <w:rPr>
                <w:rFonts w:ascii="Arial Rounded MT Bold" w:hAnsi="Arial Rounded MT Bold"/>
                <w:color w:val="1F497D" w:themeColor="text2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Instrumentation</w:t>
            </w:r>
          </w:p>
        </w:tc>
      </w:tr>
      <w:tr w:rsidR="00B81261" w:rsidRPr="00B81261" w14:paraId="375994C6" w14:textId="77777777" w:rsidTr="00B81261">
        <w:trPr>
          <w:trHeight w:val="1131"/>
        </w:trPr>
        <w:tc>
          <w:tcPr>
            <w:tcW w:w="5000" w:type="pct"/>
            <w:vAlign w:val="center"/>
          </w:tcPr>
          <w:p w14:paraId="58405715" w14:textId="77777777" w:rsidR="00B81261" w:rsidRPr="00B81261" w:rsidRDefault="00B81261" w:rsidP="00B81261">
            <w:p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B81261" w:rsidRPr="00B81261" w14:paraId="4CD9FD67" w14:textId="77777777" w:rsidTr="00B81261">
        <w:tc>
          <w:tcPr>
            <w:tcW w:w="5000" w:type="pct"/>
            <w:shd w:val="clear" w:color="auto" w:fill="76923C" w:themeFill="accent3" w:themeFillShade="BF"/>
            <w:vAlign w:val="center"/>
          </w:tcPr>
          <w:p w14:paraId="02AD4919" w14:textId="77777777" w:rsidR="00B81261" w:rsidRPr="00B81261" w:rsidRDefault="00B81261" w:rsidP="00B81261">
            <w:pPr>
              <w:rPr>
                <w:rFonts w:ascii="Arial Rounded MT Bold" w:hAnsi="Arial Rounded MT Bold"/>
                <w:color w:val="1F497D" w:themeColor="text2"/>
              </w:rPr>
            </w:pPr>
            <w:r w:rsidRPr="00B81261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Questions de recherche</w:t>
            </w:r>
          </w:p>
        </w:tc>
      </w:tr>
      <w:tr w:rsidR="00B81261" w:rsidRPr="00B81261" w14:paraId="30E1D9A1" w14:textId="77777777" w:rsidTr="00F951D0">
        <w:trPr>
          <w:trHeight w:val="2033"/>
        </w:trPr>
        <w:tc>
          <w:tcPr>
            <w:tcW w:w="5000" w:type="pct"/>
            <w:vAlign w:val="center"/>
          </w:tcPr>
          <w:p w14:paraId="310CE129" w14:textId="69B0DB8D" w:rsidR="00000000" w:rsidRPr="00F951D0" w:rsidRDefault="00F951D0" w:rsidP="00F951D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Analyse des v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itesses et rythmes de retrait / taux d’ablation</w:t>
            </w:r>
          </w:p>
          <w:p w14:paraId="627D2BFE" w14:textId="77777777" w:rsidR="00F951D0" w:rsidRDefault="00F951D0" w:rsidP="00F951D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Identification des a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gents/processus (de prédisposition et externes –forçages-) responsables :</w:t>
            </w:r>
          </w:p>
          <w:p w14:paraId="2298FF8A" w14:textId="5D466FB9" w:rsidR="00000000" w:rsidRPr="00F951D0" w:rsidRDefault="00F951D0" w:rsidP="00F951D0">
            <w:pPr>
              <w:pStyle w:val="Paragraphedeliste"/>
              <w:numPr>
                <w:ilvl w:val="0"/>
                <w:numId w:val="2"/>
              </w:numPr>
              <w:ind w:left="1593" w:hanging="425"/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du 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déclenchement d’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 xml:space="preserve">événements brutaux particulaires et de masse (écroulements, éboulements, glissements, </w:t>
            </w:r>
          </w:p>
          <w:p w14:paraId="6290043B" w14:textId="0E4B101A" w:rsidR="00000000" w:rsidRPr="00F951D0" w:rsidRDefault="00F951D0" w:rsidP="00F951D0">
            <w:pPr>
              <w:pStyle w:val="Paragraphedeliste"/>
              <w:numPr>
                <w:ilvl w:val="0"/>
                <w:numId w:val="2"/>
              </w:numPr>
              <w:ind w:left="1593" w:hanging="425"/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d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e l’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évolution des coulées boueuses et du trait de côte</w:t>
            </w:r>
          </w:p>
          <w:p w14:paraId="61DB3089" w14:textId="716E9B17" w:rsidR="00B81261" w:rsidRPr="00F951D0" w:rsidRDefault="00F951D0" w:rsidP="00F951D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Mise en perspective d</w:t>
            </w:r>
            <w:r w:rsidRPr="00F951D0">
              <w:rPr>
                <w:rFonts w:ascii="Arial Rounded MT Bold" w:hAnsi="Arial Rounded MT Bold" w:cs="Times New Roman"/>
                <w:sz w:val="20"/>
                <w:szCs w:val="20"/>
              </w:rPr>
              <w:t>es vitesses actuelles dans un contexte historique</w:t>
            </w:r>
          </w:p>
        </w:tc>
      </w:tr>
    </w:tbl>
    <w:p w14:paraId="6366B181" w14:textId="77777777" w:rsidR="0059529F" w:rsidRPr="00B81261" w:rsidRDefault="0059529F">
      <w:pPr>
        <w:rPr>
          <w:rFonts w:ascii="Arial Rounded MT Bold" w:hAnsi="Arial Rounded MT Bold"/>
        </w:rPr>
      </w:pPr>
    </w:p>
    <w:sectPr w:rsidR="0059529F" w:rsidRPr="00B81261" w:rsidSect="00542C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DF"/>
    <w:multiLevelType w:val="hybridMultilevel"/>
    <w:tmpl w:val="0B3A3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34DE"/>
    <w:multiLevelType w:val="multilevel"/>
    <w:tmpl w:val="C02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57ADE"/>
    <w:multiLevelType w:val="hybridMultilevel"/>
    <w:tmpl w:val="E3D2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C11"/>
    <w:multiLevelType w:val="hybridMultilevel"/>
    <w:tmpl w:val="F7C607B6"/>
    <w:lvl w:ilvl="0" w:tplc="3D22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C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C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4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2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C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C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C9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A95489"/>
    <w:multiLevelType w:val="hybridMultilevel"/>
    <w:tmpl w:val="CAFCBF2A"/>
    <w:lvl w:ilvl="0" w:tplc="27E4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4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6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4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66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0762E2"/>
    <w:multiLevelType w:val="hybridMultilevel"/>
    <w:tmpl w:val="86525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C207A"/>
    <w:multiLevelType w:val="hybridMultilevel"/>
    <w:tmpl w:val="45649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85099"/>
    <w:multiLevelType w:val="hybridMultilevel"/>
    <w:tmpl w:val="6AFCB4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91C88"/>
    <w:multiLevelType w:val="hybridMultilevel"/>
    <w:tmpl w:val="65B69362"/>
    <w:lvl w:ilvl="0" w:tplc="79F8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E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2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C2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C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04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A8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A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44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326025"/>
    <w:multiLevelType w:val="hybridMultilevel"/>
    <w:tmpl w:val="47527EC8"/>
    <w:lvl w:ilvl="0" w:tplc="1FFC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2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00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A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CF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2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CC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3F1745"/>
    <w:multiLevelType w:val="hybridMultilevel"/>
    <w:tmpl w:val="C68E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97828"/>
    <w:multiLevelType w:val="hybridMultilevel"/>
    <w:tmpl w:val="B1E29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5D5C"/>
    <w:multiLevelType w:val="hybridMultilevel"/>
    <w:tmpl w:val="CFFEC5EE"/>
    <w:lvl w:ilvl="0" w:tplc="B6E6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6E54A">
      <w:start w:val="-16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E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E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E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E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B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924945"/>
    <w:multiLevelType w:val="hybridMultilevel"/>
    <w:tmpl w:val="3732C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92BF8"/>
    <w:multiLevelType w:val="hybridMultilevel"/>
    <w:tmpl w:val="EDD0C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5576C"/>
    <w:multiLevelType w:val="hybridMultilevel"/>
    <w:tmpl w:val="2BEE9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9485B"/>
    <w:multiLevelType w:val="hybridMultilevel"/>
    <w:tmpl w:val="295AE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16"/>
  </w:num>
  <w:num w:numId="11">
    <w:abstractNumId w:val="14"/>
  </w:num>
  <w:num w:numId="12">
    <w:abstractNumId w:val="11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1"/>
    <w:rsid w:val="00542C42"/>
    <w:rsid w:val="00550F01"/>
    <w:rsid w:val="0059529F"/>
    <w:rsid w:val="006C6C0C"/>
    <w:rsid w:val="00B81261"/>
    <w:rsid w:val="00BE2F4F"/>
    <w:rsid w:val="00D908D0"/>
    <w:rsid w:val="00E67235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D1B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6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6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1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5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585</Words>
  <Characters>3218</Characters>
  <Application>Microsoft Macintosh Word</Application>
  <DocSecurity>0</DocSecurity>
  <Lines>26</Lines>
  <Paragraphs>7</Paragraphs>
  <ScaleCrop>false</ScaleCrop>
  <Company>Université de Bretagne Occidentale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Cocquempot</dc:creator>
  <cp:keywords/>
  <dc:description/>
  <cp:lastModifiedBy>Lucie Cocquempot</cp:lastModifiedBy>
  <cp:revision>4</cp:revision>
  <dcterms:created xsi:type="dcterms:W3CDTF">2015-01-26T16:01:00Z</dcterms:created>
  <dcterms:modified xsi:type="dcterms:W3CDTF">2015-01-27T13:18:00Z</dcterms:modified>
</cp:coreProperties>
</file>