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422" w:type="pct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67235" w:rsidRPr="003813EB" w14:paraId="1520D31B" w14:textId="77777777" w:rsidTr="00DE6284">
        <w:trPr>
          <w:trHeight w:val="703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14:paraId="7BEED9A7" w14:textId="77777777" w:rsidR="00E67235" w:rsidRPr="003813EB" w:rsidRDefault="00D528BC">
            <w:pPr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</w:pPr>
            <w:bookmarkStart w:id="0" w:name="_GoBack"/>
            <w:r w:rsidRPr="003813EB"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  <w:t>EMBOUCHURES</w:t>
            </w:r>
          </w:p>
        </w:tc>
      </w:tr>
      <w:tr w:rsidR="00E67235" w:rsidRPr="003813EB" w14:paraId="2F2D2C80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274F7AF7" w14:textId="77777777" w:rsidR="00E67235" w:rsidRPr="003813EB" w:rsidRDefault="00F03CDB">
            <w:pPr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Définition</w:t>
            </w:r>
          </w:p>
        </w:tc>
      </w:tr>
      <w:tr w:rsidR="00E67235" w:rsidRPr="003813EB" w14:paraId="6B14BAFD" w14:textId="77777777" w:rsidTr="00DE6284">
        <w:trPr>
          <w:trHeight w:val="854"/>
        </w:trPr>
        <w:tc>
          <w:tcPr>
            <w:tcW w:w="5000" w:type="pct"/>
            <w:vAlign w:val="center"/>
          </w:tcPr>
          <w:p w14:paraId="7310EB03" w14:textId="77777777" w:rsidR="00E67235" w:rsidRPr="003813EB" w:rsidRDefault="00E67235">
            <w:pPr>
              <w:rPr>
                <w:rFonts w:ascii="Arial Rounded MT Bold" w:hAnsi="Arial Rounded MT Bold"/>
                <w:color w:val="1F497D" w:themeColor="text2"/>
              </w:rPr>
            </w:pPr>
          </w:p>
        </w:tc>
      </w:tr>
      <w:tr w:rsidR="00E67235" w:rsidRPr="003813EB" w14:paraId="2DD964D7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15566124" w14:textId="77777777" w:rsidR="00E67235" w:rsidRPr="003813EB" w:rsidRDefault="00F03CDB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Types d’embouchures</w:t>
            </w:r>
            <w:r w:rsidRPr="003813EB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</w:tc>
      </w:tr>
      <w:tr w:rsidR="00E67235" w:rsidRPr="003813EB" w14:paraId="531CC0BD" w14:textId="77777777" w:rsidTr="00DE6284">
        <w:trPr>
          <w:trHeight w:val="738"/>
        </w:trPr>
        <w:tc>
          <w:tcPr>
            <w:tcW w:w="5000" w:type="pct"/>
            <w:vAlign w:val="center"/>
          </w:tcPr>
          <w:p w14:paraId="07FE5FE1" w14:textId="77777777" w:rsidR="00E67235" w:rsidRPr="00544781" w:rsidRDefault="00544781" w:rsidP="00544781">
            <w:pPr>
              <w:pStyle w:val="Paragraphedeliste"/>
              <w:numPr>
                <w:ilvl w:val="0"/>
                <w:numId w:val="9"/>
              </w:numPr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Estuaire</w:t>
            </w:r>
          </w:p>
          <w:p w14:paraId="44B0F110" w14:textId="77777777" w:rsidR="002F39BC" w:rsidRPr="00544781" w:rsidRDefault="002F39BC" w:rsidP="00544781">
            <w:pPr>
              <w:pStyle w:val="Paragraphedeliste"/>
              <w:numPr>
                <w:ilvl w:val="0"/>
                <w:numId w:val="9"/>
              </w:numPr>
              <w:rPr>
                <w:rFonts w:ascii="Arial Rounded MT Bold" w:hAnsi="Arial Rounded MT Bold"/>
                <w:color w:val="1F497D" w:themeColor="text2"/>
              </w:rPr>
            </w:pPr>
            <w:r w:rsidRPr="00544781">
              <w:rPr>
                <w:rFonts w:ascii="Arial Rounded MT Bold" w:hAnsi="Arial Rounded MT Bold" w:cs="Times New Roman"/>
                <w:sz w:val="20"/>
                <w:szCs w:val="20"/>
              </w:rPr>
              <w:t>Delta</w:t>
            </w:r>
          </w:p>
        </w:tc>
      </w:tr>
      <w:tr w:rsidR="00F03CDB" w:rsidRPr="003813EB" w14:paraId="5065C261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111AE8E8" w14:textId="77777777" w:rsidR="00F03CDB" w:rsidRPr="003813EB" w:rsidRDefault="00F03CDB">
            <w:pPr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Entités morphologiques caractéristiques</w:t>
            </w:r>
          </w:p>
        </w:tc>
      </w:tr>
      <w:tr w:rsidR="00E67235" w:rsidRPr="003813EB" w14:paraId="24CA5BFF" w14:textId="77777777" w:rsidTr="00DE6284">
        <w:trPr>
          <w:trHeight w:val="1962"/>
        </w:trPr>
        <w:tc>
          <w:tcPr>
            <w:tcW w:w="5000" w:type="pct"/>
            <w:vAlign w:val="center"/>
          </w:tcPr>
          <w:p w14:paraId="6ADEE29F" w14:textId="77777777" w:rsidR="00F03CDB" w:rsidRDefault="00F03CDB" w:rsidP="00C25CDC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Les </w:t>
            </w:r>
            <w:r w:rsidRPr="00C25CDC">
              <w:rPr>
                <w:rFonts w:ascii="Arial Rounded MT Bold" w:hAnsi="Arial Rounded MT Bold" w:cs="Times New Roman"/>
                <w:b/>
                <w:sz w:val="20"/>
                <w:szCs w:val="20"/>
              </w:rPr>
              <w:t>vasières latérales</w:t>
            </w:r>
            <w:r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A91566">
              <w:rPr>
                <w:rFonts w:ascii="Arial Rounded MT Bold" w:hAnsi="Arial Rounded MT Bold" w:cs="Times New Roman"/>
                <w:sz w:val="20"/>
                <w:szCs w:val="20"/>
              </w:rPr>
              <w:t>essentielles pour l’équilibre</w:t>
            </w:r>
            <w:r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proofErr w:type="spellStart"/>
            <w:r w:rsidRPr="00C25CDC">
              <w:rPr>
                <w:rFonts w:ascii="Arial Rounded MT Bold" w:hAnsi="Arial Rounded MT Bold" w:cs="Times New Roman"/>
                <w:sz w:val="20"/>
                <w:szCs w:val="20"/>
              </w:rPr>
              <w:t>morphodynamique</w:t>
            </w:r>
            <w:proofErr w:type="spellEnd"/>
            <w:r w:rsid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 des estuaires à marée</w:t>
            </w:r>
            <w:r w:rsidR="00A91566">
              <w:rPr>
                <w:rFonts w:ascii="Arial Rounded MT Bold" w:hAnsi="Arial Rounded MT Bold" w:cs="Times New Roman"/>
                <w:sz w:val="20"/>
                <w:szCs w:val="20"/>
              </w:rPr>
              <w:t xml:space="preserve">, elles </w:t>
            </w:r>
            <w:r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sont aussi des  lieux de stockage des contaminants et de ressources pour les organismes. </w:t>
            </w:r>
          </w:p>
          <w:p w14:paraId="03A8D05F" w14:textId="77777777" w:rsidR="00C25CDC" w:rsidRPr="00C25CDC" w:rsidRDefault="00C25CDC" w:rsidP="00C25CDC">
            <w:pPr>
              <w:pStyle w:val="Paragraphedeliste"/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14:paraId="7E4E817C" w14:textId="77777777" w:rsidR="00E67235" w:rsidRPr="00C25CDC" w:rsidRDefault="00C25CDC" w:rsidP="00C25CDC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L</w:t>
            </w:r>
            <w:r w:rsidR="00F03CDB"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e fonctionnement </w:t>
            </w:r>
            <w:proofErr w:type="spellStart"/>
            <w:r w:rsidR="00F03CDB" w:rsidRPr="00C25CDC">
              <w:rPr>
                <w:rFonts w:ascii="Arial Rounded MT Bold" w:hAnsi="Arial Rounded MT Bold" w:cs="Times New Roman"/>
                <w:sz w:val="20"/>
                <w:szCs w:val="20"/>
              </w:rPr>
              <w:t>morphodynamique</w:t>
            </w:r>
            <w:proofErr w:type="spellEnd"/>
            <w:r w:rsidR="00F03CDB"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 de la </w:t>
            </w:r>
            <w:r w:rsidR="00F03CDB" w:rsidRPr="00C25CDC">
              <w:rPr>
                <w:rFonts w:ascii="Arial Rounded MT Bold" w:hAnsi="Arial Rounded MT Bold" w:cs="Times New Roman"/>
                <w:b/>
                <w:sz w:val="20"/>
                <w:szCs w:val="20"/>
              </w:rPr>
              <w:t>barre d’embouchure</w:t>
            </w: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 des deltas</w:t>
            </w:r>
            <w:r w:rsidR="00F03CDB" w:rsidRPr="00C25CDC">
              <w:rPr>
                <w:rFonts w:ascii="Arial Rounded MT Bold" w:hAnsi="Arial Rounded MT Bold" w:cs="Times New Roman"/>
                <w:sz w:val="20"/>
                <w:szCs w:val="20"/>
              </w:rPr>
              <w:t xml:space="preserve"> est fondamental dans le fonctionnement des plages adjacentes, la pression anthropique se traduit également par un déplacement du </w:t>
            </w:r>
            <w:r w:rsidR="00F03CDB" w:rsidRPr="00C25CDC">
              <w:rPr>
                <w:rFonts w:ascii="Arial Rounded MT Bold" w:hAnsi="Arial Rounded MT Bold" w:cs="Times New Roman"/>
                <w:b/>
                <w:sz w:val="20"/>
                <w:szCs w:val="20"/>
              </w:rPr>
              <w:t>coin salé</w:t>
            </w:r>
            <w:r w:rsidR="00F03CDB" w:rsidRPr="00C25CDC">
              <w:rPr>
                <w:rFonts w:ascii="Arial Rounded MT Bold" w:hAnsi="Arial Rounded MT Bold" w:cs="Times New Roman"/>
                <w:sz w:val="20"/>
                <w:szCs w:val="20"/>
              </w:rPr>
              <w:t>,</w:t>
            </w:r>
          </w:p>
        </w:tc>
      </w:tr>
      <w:tr w:rsidR="00F03CDB" w:rsidRPr="003813EB" w14:paraId="3D366757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0238197C" w14:textId="04CFF52D" w:rsidR="00F03CDB" w:rsidRPr="003813EB" w:rsidRDefault="00F71B21">
            <w:pPr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Forçages naturels</w:t>
            </w:r>
          </w:p>
        </w:tc>
      </w:tr>
      <w:tr w:rsidR="00E67235" w:rsidRPr="003813EB" w14:paraId="5B922FC3" w14:textId="77777777" w:rsidTr="00DE6284">
        <w:tc>
          <w:tcPr>
            <w:tcW w:w="5000" w:type="pct"/>
            <w:shd w:val="clear" w:color="auto" w:fill="95B3D7" w:themeFill="accent1" w:themeFillTint="99"/>
            <w:vAlign w:val="center"/>
          </w:tcPr>
          <w:p w14:paraId="6B273E69" w14:textId="77777777" w:rsidR="00E67235" w:rsidRPr="00C25CDC" w:rsidRDefault="00F03CDB" w:rsidP="00C25CDC">
            <w:pPr>
              <w:ind w:firstLine="709"/>
              <w:rPr>
                <w:rFonts w:ascii="Arial Rounded MT Bold" w:hAnsi="Arial Rounded MT Bold"/>
                <w:color w:val="FFFFFF" w:themeColor="background1"/>
              </w:rPr>
            </w:pPr>
            <w:r w:rsidRPr="00C25CDC">
              <w:rPr>
                <w:rFonts w:ascii="Arial Rounded MT Bold" w:hAnsi="Arial Rounded MT Bold"/>
                <w:color w:val="FFFFFF" w:themeColor="background1"/>
              </w:rPr>
              <w:t>De l’Océan</w:t>
            </w:r>
            <w:r w:rsidR="005830FB">
              <w:rPr>
                <w:rFonts w:ascii="Arial Rounded MT Bold" w:hAnsi="Arial Rounded MT Bold"/>
                <w:color w:val="FFFFFF" w:themeColor="background1"/>
              </w:rPr>
              <w:t> :</w:t>
            </w:r>
          </w:p>
        </w:tc>
      </w:tr>
      <w:tr w:rsidR="00E67235" w:rsidRPr="003813EB" w14:paraId="1FD9A4BE" w14:textId="77777777" w:rsidTr="00DE6284">
        <w:trPr>
          <w:trHeight w:val="421"/>
        </w:trPr>
        <w:tc>
          <w:tcPr>
            <w:tcW w:w="5000" w:type="pct"/>
            <w:vAlign w:val="center"/>
          </w:tcPr>
          <w:p w14:paraId="123F4228" w14:textId="74BCE7F6" w:rsidR="00E67235" w:rsidRPr="003813EB" w:rsidRDefault="00F71B21" w:rsidP="00C25CDC">
            <w:pPr>
              <w:ind w:firstLine="1134"/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H</w:t>
            </w:r>
            <w:r w:rsidR="00F03CDB" w:rsidRPr="003813EB">
              <w:rPr>
                <w:rFonts w:ascii="Arial Rounded MT Bold" w:hAnsi="Arial Rounded MT Bold" w:cs="Times New Roman"/>
                <w:sz w:val="20"/>
                <w:szCs w:val="20"/>
              </w:rPr>
              <w:t>oules, marée, niveau marin</w:t>
            </w:r>
          </w:p>
        </w:tc>
      </w:tr>
      <w:tr w:rsidR="00F03CDB" w:rsidRPr="003813EB" w14:paraId="2289F50D" w14:textId="77777777" w:rsidTr="00DE6284">
        <w:tc>
          <w:tcPr>
            <w:tcW w:w="5000" w:type="pct"/>
            <w:shd w:val="clear" w:color="auto" w:fill="95B3D7" w:themeFill="accent1" w:themeFillTint="99"/>
            <w:vAlign w:val="center"/>
          </w:tcPr>
          <w:p w14:paraId="7B91C6F1" w14:textId="77777777" w:rsidR="00F03CDB" w:rsidRPr="00C25CDC" w:rsidRDefault="00F03CDB" w:rsidP="00C25CDC">
            <w:pPr>
              <w:ind w:firstLine="709"/>
              <w:rPr>
                <w:rFonts w:ascii="Arial Rounded MT Bold" w:hAnsi="Arial Rounded MT Bold"/>
                <w:color w:val="FFFFFF" w:themeColor="background1"/>
              </w:rPr>
            </w:pPr>
            <w:r w:rsidRPr="00C25CDC">
              <w:rPr>
                <w:rFonts w:ascii="Arial Rounded MT Bold" w:hAnsi="Arial Rounded MT Bold"/>
                <w:color w:val="FFFFFF" w:themeColor="background1"/>
              </w:rPr>
              <w:t>De l’extérieur</w:t>
            </w:r>
          </w:p>
        </w:tc>
      </w:tr>
      <w:tr w:rsidR="00F03CDB" w:rsidRPr="003813EB" w14:paraId="638CEF89" w14:textId="77777777" w:rsidTr="00DE6284">
        <w:trPr>
          <w:trHeight w:val="404"/>
        </w:trPr>
        <w:tc>
          <w:tcPr>
            <w:tcW w:w="5000" w:type="pct"/>
            <w:vAlign w:val="center"/>
          </w:tcPr>
          <w:p w14:paraId="218AC3F9" w14:textId="56E82907" w:rsidR="00F03CDB" w:rsidRPr="003813EB" w:rsidRDefault="00F71B21" w:rsidP="00C25CDC">
            <w:pPr>
              <w:ind w:firstLine="1134"/>
              <w:rPr>
                <w:rFonts w:ascii="Arial Rounded MT Bold" w:hAnsi="Arial Rounded MT Bold"/>
                <w:color w:val="1F497D" w:themeColor="text2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D</w:t>
            </w:r>
            <w:r w:rsidR="00F03CDB" w:rsidRPr="003813EB">
              <w:rPr>
                <w:rFonts w:ascii="Arial Rounded MT Bold" w:hAnsi="Arial Rounded MT Bold" w:cs="Times New Roman"/>
                <w:sz w:val="20"/>
                <w:szCs w:val="20"/>
              </w:rPr>
              <w:t>u bassin versant : débits liquides et solides des fleuves</w:t>
            </w:r>
          </w:p>
        </w:tc>
      </w:tr>
      <w:tr w:rsidR="00F03CDB" w:rsidRPr="003813EB" w14:paraId="7603A575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30CE50EF" w14:textId="6E1C7AF8" w:rsidR="00F03CDB" w:rsidRPr="003813EB" w:rsidRDefault="00F03CDB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Pressions anthropiques</w:t>
            </w:r>
          </w:p>
        </w:tc>
      </w:tr>
      <w:tr w:rsidR="00F03CDB" w:rsidRPr="003813EB" w14:paraId="6E908F5D" w14:textId="77777777" w:rsidTr="00DE6284">
        <w:trPr>
          <w:trHeight w:val="261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04EF6208" w14:textId="77777777" w:rsidR="005830FB" w:rsidRPr="005830FB" w:rsidRDefault="005830FB" w:rsidP="005830FB">
            <w:pPr>
              <w:ind w:firstLine="709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5830FB">
              <w:rPr>
                <w:rFonts w:ascii="Arial Rounded MT Bold" w:hAnsi="Arial Rounded MT Bold"/>
                <w:color w:val="FFFFFF" w:themeColor="background1"/>
              </w:rPr>
              <w:t>Locales :</w:t>
            </w:r>
          </w:p>
        </w:tc>
      </w:tr>
      <w:tr w:rsidR="005830FB" w:rsidRPr="003813EB" w14:paraId="2E326E1A" w14:textId="77777777" w:rsidTr="00DE6284">
        <w:trPr>
          <w:trHeight w:val="548"/>
        </w:trPr>
        <w:tc>
          <w:tcPr>
            <w:tcW w:w="5000" w:type="pct"/>
            <w:vAlign w:val="center"/>
          </w:tcPr>
          <w:p w14:paraId="3AD8E769" w14:textId="77777777" w:rsidR="005830FB" w:rsidRPr="005830FB" w:rsidRDefault="005830FB" w:rsidP="005830FB">
            <w:pPr>
              <w:pStyle w:val="Paragraphedeliste"/>
              <w:ind w:left="1134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D</w:t>
            </w:r>
            <w:r w:rsidRPr="00544781">
              <w:rPr>
                <w:rFonts w:ascii="Arial Rounded MT Bold" w:hAnsi="Arial Rounded MT Bold" w:cs="Times New Roman"/>
                <w:sz w:val="20"/>
                <w:szCs w:val="20"/>
              </w:rPr>
              <w:t>ragages des chenaux et ports, extraction de granulats, aménagement des rives, réduction</w:t>
            </w:r>
          </w:p>
        </w:tc>
      </w:tr>
      <w:tr w:rsidR="005830FB" w:rsidRPr="003813EB" w14:paraId="7F69A248" w14:textId="77777777" w:rsidTr="00DE6284">
        <w:trPr>
          <w:trHeight w:val="291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5FB6B5CF" w14:textId="77777777" w:rsidR="005830FB" w:rsidRPr="005830FB" w:rsidRDefault="005830FB" w:rsidP="005830FB">
            <w:pPr>
              <w:ind w:firstLine="709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5830FB">
              <w:rPr>
                <w:rFonts w:ascii="Arial Rounded MT Bold" w:hAnsi="Arial Rounded MT Bold"/>
                <w:color w:val="FFFFFF" w:themeColor="background1"/>
              </w:rPr>
              <w:t>Lointaines :</w:t>
            </w:r>
          </w:p>
        </w:tc>
      </w:tr>
      <w:tr w:rsidR="005830FB" w:rsidRPr="003813EB" w14:paraId="60A0FF72" w14:textId="77777777" w:rsidTr="00DE6284">
        <w:trPr>
          <w:trHeight w:val="433"/>
        </w:trPr>
        <w:tc>
          <w:tcPr>
            <w:tcW w:w="5000" w:type="pct"/>
            <w:vAlign w:val="center"/>
          </w:tcPr>
          <w:p w14:paraId="1283AD6E" w14:textId="77777777" w:rsidR="005830FB" w:rsidRPr="00544781" w:rsidRDefault="005830FB" w:rsidP="005830FB">
            <w:pPr>
              <w:pStyle w:val="Paragraphedeliste"/>
              <w:ind w:firstLine="414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E</w:t>
            </w:r>
            <w:r w:rsidRPr="00544781">
              <w:rPr>
                <w:rFonts w:ascii="Arial Rounded MT Bold" w:hAnsi="Arial Rounded MT Bold" w:cs="Times New Roman"/>
                <w:sz w:val="20"/>
                <w:szCs w:val="20"/>
              </w:rPr>
              <w:t>xercées sur les bassins versants amont.</w:t>
            </w:r>
          </w:p>
        </w:tc>
      </w:tr>
      <w:tr w:rsidR="00F03CDB" w:rsidRPr="003813EB" w14:paraId="620D39EE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1B7491E2" w14:textId="77777777" w:rsidR="00F03CDB" w:rsidRPr="003813EB" w:rsidRDefault="00A91566" w:rsidP="003D6B80">
            <w:pPr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Evolutions morphologiques</w:t>
            </w:r>
          </w:p>
        </w:tc>
      </w:tr>
      <w:tr w:rsidR="00F03CDB" w:rsidRPr="003813EB" w14:paraId="78CC4DDA" w14:textId="77777777" w:rsidTr="00DE6284">
        <w:trPr>
          <w:trHeight w:val="1151"/>
        </w:trPr>
        <w:tc>
          <w:tcPr>
            <w:tcW w:w="5000" w:type="pct"/>
            <w:vAlign w:val="center"/>
          </w:tcPr>
          <w:p w14:paraId="30744D75" w14:textId="77777777" w:rsidR="00F03CDB" w:rsidRPr="00A91566" w:rsidRDefault="00A91566" w:rsidP="00A91566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P</w:t>
            </w:r>
            <w:r w:rsidRPr="00A91566">
              <w:rPr>
                <w:rFonts w:ascii="Arial Rounded MT Bold" w:hAnsi="Arial Rounded MT Bold" w:cs="Times New Roman"/>
                <w:sz w:val="20"/>
                <w:szCs w:val="20"/>
              </w:rPr>
              <w:t>rincipalement dues aux flux de dépôt et d’érosion en sédiments fin en suspension s</w:t>
            </w: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tockés dans le bouchon vaseux. </w:t>
            </w:r>
            <w:r w:rsidRPr="00A91566">
              <w:rPr>
                <w:rFonts w:ascii="Arial Rounded MT Bold" w:hAnsi="Arial Rounded MT Bold" w:cs="Times New Roman"/>
                <w:sz w:val="20"/>
                <w:szCs w:val="20"/>
              </w:rPr>
              <w:t>Ces flux sont dépendants de la concentration en sédiments dans l’eau, contrôlée par l’action périodique des courants de marée, et modulée par les variations du débit fluvial.</w:t>
            </w:r>
          </w:p>
        </w:tc>
      </w:tr>
      <w:tr w:rsidR="00F03CDB" w:rsidRPr="003813EB" w14:paraId="62DDC8CC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50D3A7EB" w14:textId="77777777" w:rsidR="00F03CDB" w:rsidRPr="003813EB" w:rsidRDefault="00F03CDB">
            <w:pPr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Echelle de temps</w:t>
            </w:r>
          </w:p>
        </w:tc>
      </w:tr>
      <w:tr w:rsidR="00F03CDB" w:rsidRPr="003813EB" w14:paraId="1964E6A7" w14:textId="77777777" w:rsidTr="00DE6284">
        <w:trPr>
          <w:trHeight w:val="1273"/>
        </w:trPr>
        <w:tc>
          <w:tcPr>
            <w:tcW w:w="5000" w:type="pct"/>
            <w:vAlign w:val="center"/>
          </w:tcPr>
          <w:p w14:paraId="716D1F8F" w14:textId="77777777" w:rsidR="00F03CDB" w:rsidRPr="003813EB" w:rsidRDefault="00F03CDB" w:rsidP="00F03CDB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Beaucoup plus longue que les échelles caractéristiques de la dynamique littorale. </w:t>
            </w:r>
          </w:p>
          <w:p w14:paraId="0260AEE8" w14:textId="77777777" w:rsidR="00F03CDB" w:rsidRPr="003813EB" w:rsidRDefault="00F03CDB" w:rsidP="00F03CDB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Morphologie générale : résultat d’un comblement naturel holocène, </w:t>
            </w:r>
          </w:p>
          <w:p w14:paraId="5222BACB" w14:textId="77777777" w:rsidR="00F03CDB" w:rsidRPr="003813EB" w:rsidRDefault="00F03CDB" w:rsidP="00F03CDB">
            <w:pPr>
              <w:jc w:val="both"/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>Altération plus ou moins significative par des aménagements humains proches et lointains (bassin versant) depuis environ 150 ans.</w:t>
            </w:r>
          </w:p>
        </w:tc>
      </w:tr>
      <w:tr w:rsidR="00F03CDB" w:rsidRPr="003813EB" w14:paraId="18D12BF8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4EF1442C" w14:textId="77777777" w:rsidR="00F03CDB" w:rsidRPr="003813EB" w:rsidRDefault="00F03CDB">
            <w:pPr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 xml:space="preserve">Variables caractérisant le </w:t>
            </w:r>
            <w:proofErr w:type="spellStart"/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morphodynamisme</w:t>
            </w:r>
            <w:proofErr w:type="spellEnd"/>
          </w:p>
        </w:tc>
      </w:tr>
      <w:tr w:rsidR="00F03CDB" w:rsidRPr="003813EB" w14:paraId="67EE5BAC" w14:textId="77777777" w:rsidTr="00DE6284">
        <w:trPr>
          <w:trHeight w:val="1555"/>
        </w:trPr>
        <w:tc>
          <w:tcPr>
            <w:tcW w:w="5000" w:type="pct"/>
            <w:vAlign w:val="center"/>
          </w:tcPr>
          <w:p w14:paraId="2B9096B9" w14:textId="77777777" w:rsidR="00F03CDB" w:rsidRPr="003813EB" w:rsidRDefault="00F03CDB" w:rsidP="00A9156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La turbidité (proportionnelle à la concentration), </w:t>
            </w:r>
          </w:p>
          <w:p w14:paraId="64F2F193" w14:textId="77777777" w:rsidR="00F03CDB" w:rsidRPr="003813EB" w:rsidRDefault="00F03CDB" w:rsidP="00A9156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>l’onde de marée</w:t>
            </w:r>
          </w:p>
          <w:p w14:paraId="572A8159" w14:textId="77777777" w:rsidR="00F03CDB" w:rsidRDefault="00F03CDB" w:rsidP="00A9156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le débit fluvial </w:t>
            </w:r>
          </w:p>
          <w:p w14:paraId="14B11138" w14:textId="77777777" w:rsidR="00A91566" w:rsidRPr="00A91566" w:rsidRDefault="00A91566" w:rsidP="00A9156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la bathymétrie, </w:t>
            </w:r>
            <w:r w:rsidRPr="00A91566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</w:tc>
      </w:tr>
      <w:tr w:rsidR="00A91566" w:rsidRPr="003813EB" w14:paraId="2D49C869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3E3FB684" w14:textId="77777777" w:rsidR="00A91566" w:rsidRPr="003813EB" w:rsidRDefault="00A91566" w:rsidP="00A91566">
            <w:pPr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lastRenderedPageBreak/>
              <w:t>Mesures</w:t>
            </w:r>
          </w:p>
        </w:tc>
      </w:tr>
      <w:tr w:rsidR="00A91566" w:rsidRPr="003813EB" w14:paraId="63D81E79" w14:textId="77777777" w:rsidTr="00DE6284">
        <w:trPr>
          <w:trHeight w:val="1404"/>
        </w:trPr>
        <w:tc>
          <w:tcPr>
            <w:tcW w:w="5000" w:type="pct"/>
            <w:vAlign w:val="center"/>
          </w:tcPr>
          <w:p w14:paraId="029A318D" w14:textId="77777777" w:rsidR="00A91566" w:rsidRPr="003813EB" w:rsidRDefault="00A91566" w:rsidP="00A915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niveau de la surface libre, </w:t>
            </w:r>
          </w:p>
          <w:p w14:paraId="706B93AF" w14:textId="77777777" w:rsidR="00A91566" w:rsidRPr="003813EB" w:rsidRDefault="00A91566" w:rsidP="00A915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salinité, </w:t>
            </w:r>
          </w:p>
          <w:p w14:paraId="6A0D99E2" w14:textId="77777777" w:rsidR="00A91566" w:rsidRPr="003813EB" w:rsidRDefault="00A91566" w:rsidP="00A915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turbidité, </w:t>
            </w:r>
          </w:p>
          <w:p w14:paraId="26D566DE" w14:textId="77777777" w:rsidR="00A91566" w:rsidRPr="003813EB" w:rsidRDefault="00A91566" w:rsidP="00A915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concentrations en MES. </w:t>
            </w:r>
          </w:p>
        </w:tc>
      </w:tr>
      <w:tr w:rsidR="00A91566" w:rsidRPr="003813EB" w14:paraId="683B6A76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75160143" w14:textId="77777777" w:rsidR="00A91566" w:rsidRPr="003813EB" w:rsidRDefault="00A91566" w:rsidP="00A91566">
            <w:pPr>
              <w:rPr>
                <w:rFonts w:ascii="Arial Rounded MT Bold" w:hAnsi="Arial Rounded MT Bold"/>
                <w:color w:val="1F497D" w:themeColor="text2"/>
              </w:rPr>
            </w:pPr>
            <w:r w:rsidRPr="00C25CDC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I</w:t>
            </w: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nstrumentation</w:t>
            </w:r>
          </w:p>
        </w:tc>
      </w:tr>
      <w:tr w:rsidR="00A91566" w:rsidRPr="003813EB" w14:paraId="677633F9" w14:textId="77777777" w:rsidTr="00DE6284">
        <w:trPr>
          <w:trHeight w:val="1131"/>
        </w:trPr>
        <w:tc>
          <w:tcPr>
            <w:tcW w:w="5000" w:type="pct"/>
            <w:vAlign w:val="center"/>
          </w:tcPr>
          <w:p w14:paraId="4A702C46" w14:textId="77777777" w:rsidR="00A91566" w:rsidRPr="003813EB" w:rsidRDefault="00A91566" w:rsidP="00A9156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Pour les estuaires : Gironde : MAGEST, Loire : SYVEL et Seine : </w:t>
            </w:r>
            <w:proofErr w:type="gramStart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>SYNAPSES )</w:t>
            </w:r>
            <w:proofErr w:type="gramEnd"/>
          </w:p>
          <w:p w14:paraId="4C5F597D" w14:textId="77777777" w:rsidR="00A91566" w:rsidRPr="003813EB" w:rsidRDefault="00A91566" w:rsidP="00A9156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Pour le </w:t>
            </w:r>
            <w:proofErr w:type="spellStart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>celta</w:t>
            </w:r>
            <w:proofErr w:type="spellEnd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 du Rhône : SORA et </w:t>
            </w:r>
            <w:proofErr w:type="spellStart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>Mesurho</w:t>
            </w:r>
            <w:proofErr w:type="spellEnd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</w:p>
          <w:p w14:paraId="00F8E502" w14:textId="77777777" w:rsidR="00A91566" w:rsidRPr="003813EB" w:rsidRDefault="00A91566" w:rsidP="00A91566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Couplés à des mesures </w:t>
            </w:r>
            <w:proofErr w:type="spellStart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>courantométriques</w:t>
            </w:r>
            <w:proofErr w:type="spellEnd"/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 ou des modèles, des flux sédimentaires peuvent être calculés.</w:t>
            </w:r>
          </w:p>
        </w:tc>
      </w:tr>
      <w:tr w:rsidR="00A91566" w:rsidRPr="003813EB" w14:paraId="7DEDEC1E" w14:textId="77777777" w:rsidTr="00DE6284">
        <w:tc>
          <w:tcPr>
            <w:tcW w:w="5000" w:type="pct"/>
            <w:shd w:val="clear" w:color="auto" w:fill="365F91" w:themeFill="accent1" w:themeFillShade="BF"/>
            <w:vAlign w:val="center"/>
          </w:tcPr>
          <w:p w14:paraId="3CB4C4C7" w14:textId="77777777" w:rsidR="00A91566" w:rsidRPr="003813EB" w:rsidRDefault="00A91566" w:rsidP="00A91566">
            <w:pPr>
              <w:rPr>
                <w:rFonts w:ascii="Arial Rounded MT Bold" w:hAnsi="Arial Rounded MT Bold"/>
                <w:color w:val="1F497D" w:themeColor="text2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Questions de recherche</w:t>
            </w:r>
          </w:p>
        </w:tc>
      </w:tr>
      <w:tr w:rsidR="00A91566" w:rsidRPr="003813EB" w14:paraId="62CBDDEA" w14:textId="77777777" w:rsidTr="00DE6284">
        <w:trPr>
          <w:trHeight w:val="1253"/>
        </w:trPr>
        <w:tc>
          <w:tcPr>
            <w:tcW w:w="5000" w:type="pct"/>
            <w:vAlign w:val="center"/>
          </w:tcPr>
          <w:p w14:paraId="2B883555" w14:textId="77777777" w:rsidR="00A91566" w:rsidRPr="003813EB" w:rsidRDefault="00A91566" w:rsidP="00A9156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connaître les zones des dépôts vaseux, </w:t>
            </w:r>
          </w:p>
          <w:p w14:paraId="2372D03A" w14:textId="77777777" w:rsidR="00A91566" w:rsidRPr="003813EB" w:rsidRDefault="00A91566" w:rsidP="00A9156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connaître le rythme des dépôts dus aux différents forçages </w:t>
            </w:r>
          </w:p>
          <w:p w14:paraId="06AB0C74" w14:textId="77777777" w:rsidR="00A91566" w:rsidRDefault="00A91566" w:rsidP="00A9156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3813EB">
              <w:rPr>
                <w:rFonts w:ascii="Arial Rounded MT Bold" w:hAnsi="Arial Rounded MT Bold" w:cs="Times New Roman"/>
                <w:sz w:val="20"/>
                <w:szCs w:val="20"/>
              </w:rPr>
              <w:t xml:space="preserve">établir les flux sédimentaires dans ces estuaires. </w:t>
            </w:r>
          </w:p>
          <w:p w14:paraId="6B096746" w14:textId="77777777" w:rsidR="00A91566" w:rsidRPr="00A91566" w:rsidRDefault="00A91566" w:rsidP="00A9156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A91566">
              <w:rPr>
                <w:rFonts w:ascii="Arial Rounded MT Bold" w:hAnsi="Arial Rounded MT Bold" w:cs="Times New Roman"/>
                <w:sz w:val="20"/>
                <w:szCs w:val="20"/>
              </w:rPr>
              <w:t>comprendre les flux associés aux particules dans ce milieu de transition (contaminants, matière organique)</w:t>
            </w:r>
          </w:p>
        </w:tc>
      </w:tr>
      <w:bookmarkEnd w:id="0"/>
    </w:tbl>
    <w:p w14:paraId="420D5304" w14:textId="77777777" w:rsidR="0059529F" w:rsidRPr="003813EB" w:rsidRDefault="0059529F">
      <w:pPr>
        <w:rPr>
          <w:rFonts w:ascii="Arial Rounded MT Bold" w:hAnsi="Arial Rounded MT Bold"/>
        </w:rPr>
      </w:pPr>
    </w:p>
    <w:sectPr w:rsidR="0059529F" w:rsidRPr="003813EB" w:rsidSect="003D6B80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DF"/>
    <w:multiLevelType w:val="hybridMultilevel"/>
    <w:tmpl w:val="0B3A3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ADE"/>
    <w:multiLevelType w:val="hybridMultilevel"/>
    <w:tmpl w:val="E3D2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62E2"/>
    <w:multiLevelType w:val="hybridMultilevel"/>
    <w:tmpl w:val="86525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07A"/>
    <w:multiLevelType w:val="hybridMultilevel"/>
    <w:tmpl w:val="45649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7AD3"/>
    <w:multiLevelType w:val="hybridMultilevel"/>
    <w:tmpl w:val="8B862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14E4"/>
    <w:multiLevelType w:val="hybridMultilevel"/>
    <w:tmpl w:val="641C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F1745"/>
    <w:multiLevelType w:val="hybridMultilevel"/>
    <w:tmpl w:val="ACB29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25A8"/>
    <w:multiLevelType w:val="hybridMultilevel"/>
    <w:tmpl w:val="9E96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5576C"/>
    <w:multiLevelType w:val="hybridMultilevel"/>
    <w:tmpl w:val="2BEE9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1"/>
    <w:rsid w:val="002F39BC"/>
    <w:rsid w:val="003813EB"/>
    <w:rsid w:val="003D6B80"/>
    <w:rsid w:val="00542C42"/>
    <w:rsid w:val="00544781"/>
    <w:rsid w:val="00550F01"/>
    <w:rsid w:val="005830FB"/>
    <w:rsid w:val="00583CD8"/>
    <w:rsid w:val="0059529F"/>
    <w:rsid w:val="00797B03"/>
    <w:rsid w:val="00A91566"/>
    <w:rsid w:val="00C25CDC"/>
    <w:rsid w:val="00D528BC"/>
    <w:rsid w:val="00DE6284"/>
    <w:rsid w:val="00E67235"/>
    <w:rsid w:val="00F03CDB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C8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3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338</Words>
  <Characters>1860</Characters>
  <Application>Microsoft Macintosh Word</Application>
  <DocSecurity>0</DocSecurity>
  <Lines>15</Lines>
  <Paragraphs>4</Paragraphs>
  <ScaleCrop>false</ScaleCrop>
  <Company>Université de Bretagne Occidentale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Cocquempot</dc:creator>
  <cp:keywords/>
  <dc:description/>
  <cp:lastModifiedBy>Lucie Cocquempot</cp:lastModifiedBy>
  <cp:revision>4</cp:revision>
  <dcterms:created xsi:type="dcterms:W3CDTF">2015-01-26T16:02:00Z</dcterms:created>
  <dcterms:modified xsi:type="dcterms:W3CDTF">2015-01-27T11:06:00Z</dcterms:modified>
</cp:coreProperties>
</file>