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2"/>
        <w:pBdr/>
        <w:shd w:val="clear" w:color="22b3c9" w:themeColor="background2" w:themeShade="80" w:fill="22b3c9" w:themeFill="background2" w:themeFillShade="80"/>
        <w:spacing w:after="0" w:afterAutospacing="0" w:before="0" w:beforeAutospacing="0"/>
        <w:ind/>
        <w:jc w:val="center"/>
        <w:rPr>
          <w:rFonts w:ascii="Open Sans Semibold" w:hAnsi="Open Sans Semibold" w:cs="Open Sans Semibold"/>
          <w:color w:val="ffffff" w:themeColor="background1"/>
          <w:highlight w:val="none"/>
        </w:rPr>
      </w:pPr>
      <w:r>
        <w:rPr>
          <w:rFonts w:ascii="Open Sans Semibold" w:hAnsi="Open Sans Semibold" w:eastAsia="Open Sans Semibold" w:cs="Open Sans Semibold"/>
          <w:lang w:val="fr-FR"/>
        </w:rPr>
      </w:r>
      <w:r>
        <w:rPr>
          <w:rFonts w:ascii="Open Sans Semibold" w:hAnsi="Open Sans Semibold" w:eastAsia="Open Sans Semibold" w:cs="Open Sans Semibold"/>
          <w:color w:val="ffffff" w:themeColor="background1"/>
          <w:lang w:val="fr-FR"/>
        </w:rPr>
        <w:t xml:space="preserve">État de la dockerisation d’</w:t>
      </w:r>
      <w:r>
        <w:rPr>
          <w:rFonts w:ascii="Open Sans Semibold" w:hAnsi="Open Sans Semibold" w:eastAsia="Open Sans Semibold" w:cs="Open Sans Semibold"/>
          <w:i/>
          <w:iCs/>
          <w:color w:val="ffffff" w:themeColor="background1"/>
          <w:lang w:val="fr-FR"/>
        </w:rPr>
        <w:t xml:space="preserve">indigeo</w:t>
      </w:r>
      <w:r>
        <w:rPr>
          <w:rFonts w:ascii="Open Sans Semibold" w:hAnsi="Open Sans Semibold" w:eastAsia="Open Sans Semibold" w:cs="Open Sans Semibold"/>
          <w:color w:val="ffffff" w:themeColor="background1"/>
          <w:lang w:val="fr-FR"/>
        </w:rPr>
        <w:t xml:space="preserve"> à l’issue du Code Camp</w:t>
      </w:r>
      <w:r>
        <w:rPr>
          <w:rFonts w:ascii="Open Sans Semibold" w:hAnsi="Open Sans Semibold" w:cs="Open Sans Semibold"/>
          <w:color w:val="ffffff" w:themeColor="background1"/>
          <w:highlight w:val="none"/>
        </w:rPr>
      </w:r>
      <w:r>
        <w:rPr>
          <w:rFonts w:ascii="Open Sans Semibold" w:hAnsi="Open Sans Semibold" w:cs="Open Sans Semibold"/>
          <w:color w:val="ffffff" w:themeColor="background1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4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Docker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>
          <w:highlight w:val="none"/>
        </w:rPr>
      </w:pPr>
      <w:r>
        <w:rPr>
          <w:sz w:val="24"/>
          <w:szCs w:val="24"/>
          <w:lang w:val="fr-FR"/>
        </w:rPr>
        <w:t xml:space="preserve">C</w:t>
      </w:r>
      <w:r>
        <w:rPr>
          <w:sz w:val="24"/>
          <w:szCs w:val="24"/>
          <w:lang w:val="fr-FR"/>
        </w:rPr>
        <w:t xml:space="preserve">omposition Docker : </w:t>
      </w:r>
      <w:r>
        <w:rPr>
          <w:sz w:val="24"/>
          <w:szCs w:val="24"/>
          <w:lang w:val="fr-FR"/>
        </w:rPr>
      </w:r>
      <w:hyperlink r:id="rId9" w:tooltip="https://versio.iuem.eu/indigeo/geostack/-/blob/dev/docker-compose.yml?ref_type=heads" w:history="1">
        <w:r>
          <w:rPr>
            <w:rStyle w:val="820"/>
            <w:sz w:val="24"/>
            <w:szCs w:val="24"/>
            <w:lang w:val="fr-FR"/>
          </w:rPr>
          <w:t xml:space="preserve">https://versio.iuem.eu/indigeo/geostack/-/blob/dev/docker-compose.yml?ref_type=heads</w:t>
        </w:r>
        <w:r>
          <w:rPr>
            <w:rStyle w:val="820"/>
            <w:sz w:val="24"/>
            <w:szCs w:val="24"/>
            <w:lang w:val="fr-FR"/>
          </w:rPr>
        </w:r>
        <w:r>
          <w:rPr>
            <w:rStyle w:val="820"/>
            <w:sz w:val="24"/>
            <w:szCs w:val="24"/>
            <w:lang w:val="fr-FR"/>
          </w:rPr>
        </w:r>
        <w:r>
          <w:rPr>
            <w:rStyle w:val="820"/>
            <w:sz w:val="24"/>
            <w:szCs w:val="24"/>
          </w:rPr>
        </w:r>
        <w:r>
          <w:rPr>
            <w:rStyle w:val="820"/>
            <w:sz w:val="24"/>
            <w:szCs w:val="24"/>
            <w:lang w:val="fr-FR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fr-FR"/>
        </w:rPr>
        <w:t xml:space="preserve">Branche la plus à jour aujourd’hui : tlebars</w:t>
      </w:r>
      <w:r>
        <w:rPr>
          <w:sz w:val="24"/>
          <w:szCs w:val="24"/>
          <w:highlight w:val="none"/>
          <w:lang w:val="fr-FR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  <w:highlight w:val="none"/>
          <w:lang w:val="fr-FR"/>
        </w:rPr>
      </w:pPr>
      <w:r>
        <w:rPr>
          <w:sz w:val="24"/>
          <w:szCs w:val="24"/>
          <w:highlight w:val="none"/>
          <w:lang w:val="fr-FR"/>
        </w:rPr>
        <w:t xml:space="preserve">Conteneurs :</w:t>
      </w:r>
      <w:r>
        <w:rPr>
          <w:sz w:val="24"/>
          <w:szCs w:val="24"/>
          <w:highlight w:val="none"/>
          <w:lang w:val="fr-FR"/>
        </w:rPr>
      </w:r>
      <w:r>
        <w:rPr>
          <w:sz w:val="24"/>
          <w:szCs w:val="24"/>
          <w:highlight w:val="none"/>
          <w:lang w:val="fr-FR"/>
        </w:rPr>
      </w:r>
    </w:p>
    <w:p>
      <w:pPr>
        <w:pStyle w:val="842"/>
        <w:numPr>
          <w:ilvl w:val="0"/>
          <w:numId w:val="3"/>
        </w:numPr>
        <w:pBdr/>
        <w:spacing w:before="6" w:beforeAutospacing="0"/>
        <w:ind/>
        <w:rPr>
          <w:sz w:val="24"/>
          <w:szCs w:val="24"/>
        </w:rPr>
      </w:pPr>
      <w:r>
        <w:rPr>
          <w:sz w:val="24"/>
          <w:szCs w:val="24"/>
          <w:highlight w:val="none"/>
          <w:lang w:val="fr-FR"/>
        </w:rPr>
        <w:t xml:space="preserve">Traefik (mandataire inverse - Reverse proxy qui répartit les requêtes aux autres composants)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  <w:lang w:val="fr-FR"/>
        </w:rPr>
        <w:t xml:space="preserve">PostGIS (base de données)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  <w:lang w:val="fr-FR"/>
        </w:rPr>
        <w:t xml:space="preserve">Geonetwork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  <w:lang w:val="fr-FR"/>
        </w:rPr>
        <w:t xml:space="preserve">ElasticSearch (moteur de recherche de Geonetwork)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  <w:lang w:val="fr-FR"/>
        </w:rPr>
        <w:t xml:space="preserve">Geoserver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highlight w:val="none"/>
          <w14:ligatures w14:val="none"/>
        </w:rPr>
      </w:pPr>
      <w:r>
        <w:rPr>
          <w:highlight w:val="none"/>
          <w:lang w:val="fr-FR"/>
        </w:rPr>
        <w:t xml:space="preserve">Plateformes tests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/>
        <w:shd w:val="nil" w:color="auto"/>
        <w:tabs>
          <w:tab w:val="center" w:leader="none" w:pos="4677"/>
        </w:tabs>
        <w:spacing/>
        <w:ind/>
        <w:contextualSpacing w:val="false"/>
        <w:jc w:val="left"/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pPr>
      <w:r>
        <w:rPr>
          <w:color w:val="ffc000"/>
          <w:highlight w:val="none"/>
          <w:lang w:val="fr-FR"/>
        </w:rPr>
      </w:r>
      <w:r>
        <w:rPr>
          <w:highlight w:val="none"/>
          <w:lang w:val="fr-FR"/>
        </w:rPr>
      </w:r>
      <w:hyperlink r:id="rId10" w:tooltip="https://geostack.iuem.eu/geoserver/web/" w:history="1">
        <w:r>
          <w:rPr>
            <w:rStyle w:val="820"/>
            <w:highlight w:val="none"/>
            <w:lang w:val="fr-FR"/>
          </w:rPr>
          <w:t xml:space="preserve">https://geostack.iuem.eu/geoserver/web/</w:t>
        </w:r>
        <w:r>
          <w:rPr>
            <w:rStyle w:val="820"/>
            <w:highlight w:val="none"/>
            <w:lang w:val="fr-FR"/>
          </w:rPr>
        </w:r>
        <w:r>
          <w:rPr>
            <w:rStyle w:val="820"/>
            <w:rFonts w:ascii="Open Sans" w:hAnsi="Open Sans" w:eastAsia="Open Sans" w:cs="Open Sans"/>
            <w:sz w:val="24"/>
            <w:szCs w:val="24"/>
            <w:highlight w:val="none"/>
            <w:lang w:val="fr-FR"/>
          </w:rPr>
        </w:r>
        <w:r>
          <w:rPr>
            <w:rStyle w:val="820"/>
            <w:highlight w:val="none"/>
            <w:lang w:val="fr-FR"/>
          </w:rPr>
        </w:r>
        <w:r>
          <w:rPr>
            <w:rStyle w:val="820"/>
            <w:highlight w:val="none"/>
          </w:rPr>
        </w:r>
      </w:hyperlink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  <w:tab/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</w:p>
    <w:p>
      <w:pPr>
        <w:suppressLineNumbers w:val="false"/>
        <w:pBdr/>
        <w:shd w:val="nil" w:color="000000"/>
        <w:tabs>
          <w:tab w:val="center" w:leader="none" w:pos="4677"/>
        </w:tabs>
        <w:spacing/>
        <w:ind/>
        <w:contextualSpacing w:val="false"/>
        <w:jc w:val="left"/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pP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hyperlink r:id="rId11" w:tooltip="démo de géonetwork" w:history="1">
        <w:r>
          <w:rPr>
            <w:rStyle w:val="820"/>
            <w:highlight w:val="none"/>
            <w:lang w:val="fr-FR"/>
          </w:rPr>
          <w:t xml:space="preserve">https://geostack.iuem.eu/geonetwork/</w:t>
        </w:r>
        <w:r>
          <w:rPr>
            <w:rStyle w:val="820"/>
            <w:highlight w:val="none"/>
            <w:lang w:val="fr-FR"/>
          </w:rPr>
        </w:r>
        <w:r>
          <w:rPr>
            <w:rStyle w:val="820"/>
            <w:rFonts w:ascii="Open Sans" w:hAnsi="Open Sans" w:eastAsia="Open Sans" w:cs="Open Sans"/>
            <w:sz w:val="24"/>
            <w:szCs w:val="24"/>
            <w:highlight w:val="none"/>
            <w:lang w:val="fr-FR"/>
          </w:rPr>
        </w:r>
        <w:r>
          <w:rPr>
            <w:rStyle w:val="820"/>
            <w:highlight w:val="none"/>
            <w:lang w:val="fr-FR"/>
          </w:rPr>
        </w:r>
        <w:r>
          <w:rPr>
            <w:rStyle w:val="820"/>
            <w:highlight w:val="none"/>
          </w:rPr>
        </w:r>
      </w:hyperlink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</w:p>
    <w:p>
      <w:pPr>
        <w:suppressLineNumbers w:val="false"/>
        <w:pBdr/>
        <w:shd w:val="nil" w:color="000000"/>
        <w:tabs>
          <w:tab w:val="center" w:leader="none" w:pos="4677"/>
        </w:tabs>
        <w:spacing/>
        <w:ind/>
        <w:contextualSpacing w:val="false"/>
        <w:jc w:val="left"/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pPr>
      <w:r>
        <w:rPr>
          <w:color w:val="ffc000"/>
          <w:highlight w:val="none"/>
          <w:lang w:val="fr-FR"/>
        </w:rPr>
      </w:r>
      <w:r>
        <w:rPr>
          <w:highlight w:val="none"/>
          <w:lang w:val="fr-FR"/>
        </w:rPr>
      </w:r>
      <w:hyperlink r:id="rId12" w:tooltip="https://geostack.iuem.eu/geoserver/web/" w:history="1">
        <w:r>
          <w:rPr>
            <w:rStyle w:val="820"/>
            <w:highlight w:val="none"/>
            <w:lang w:val="fr-FR"/>
          </w:rPr>
          <w:t xml:space="preserve">https://kurun.univ-brest.fr/geoserver</w:t>
        </w:r>
        <w:r>
          <w:rPr>
            <w:rStyle w:val="820"/>
            <w:highlight w:val="none"/>
          </w:rPr>
        </w:r>
      </w:hyperlink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  <w:tab/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</w:p>
    <w:p>
      <w:pPr>
        <w:suppressLineNumbers w:val="false"/>
        <w:pBdr/>
        <w:shd w:val="nil" w:color="000000"/>
        <w:tabs>
          <w:tab w:val="center" w:leader="none" w:pos="4677"/>
        </w:tabs>
        <w:spacing/>
        <w:ind/>
        <w:contextualSpacing w:val="false"/>
        <w:jc w:val="left"/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pP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hyperlink r:id="rId13" w:tooltip="démo de géonetwork" w:history="1">
        <w:r>
          <w:rPr>
            <w:rStyle w:val="820"/>
            <w:highlight w:val="none"/>
            <w:lang w:val="fr-FR"/>
          </w:rPr>
          <w:t xml:space="preserve">https://kurun.univ-brest.fr/geonetwork/</w:t>
        </w:r>
        <w:r>
          <w:rPr>
            <w:rStyle w:val="820"/>
            <w:highlight w:val="none"/>
            <w:lang w:val="fr-FR"/>
          </w:rPr>
        </w:r>
        <w:r>
          <w:rPr>
            <w:rStyle w:val="820"/>
            <w:rFonts w:ascii="Open Sans" w:hAnsi="Open Sans" w:eastAsia="Open Sans" w:cs="Open Sans"/>
            <w:sz w:val="24"/>
            <w:szCs w:val="24"/>
            <w:highlight w:val="none"/>
            <w:lang w:val="fr-FR"/>
          </w:rPr>
        </w:r>
        <w:r>
          <w:rPr>
            <w:rStyle w:val="820"/>
            <w:highlight w:val="none"/>
            <w:lang w:val="fr-FR"/>
          </w:rPr>
        </w:r>
        <w:r>
          <w:rPr>
            <w:rStyle w:val="820"/>
            <w:highlight w:val="none"/>
          </w:rPr>
        </w:r>
      </w:hyperlink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  <w:r>
        <w:rPr>
          <w:rFonts w:ascii="Open Sans" w:hAnsi="Open Sans" w:eastAsia="Open Sans" w:cs="Open Sans"/>
          <w:sz w:val="24"/>
          <w:szCs w:val="24"/>
          <w:highlight w:val="none"/>
          <w:lang w:val="fr-FR"/>
          <w14:ligatures w14:val="none"/>
        </w:rPr>
      </w:r>
    </w:p>
    <w:p>
      <w:pPr>
        <w:pStyle w:val="664"/>
        <w:pBdr/>
        <w:spacing/>
        <w:ind/>
        <w:rPr>
          <w:highlight w:val="none"/>
          <w:lang w:val="fr-FR"/>
          <w14:ligatures w14:val="none"/>
        </w:rPr>
      </w:pPr>
      <w:r>
        <w:rPr>
          <w:lang w:val="fr-FR"/>
        </w:rPr>
        <w:t xml:space="preserve">Geoserver</w:t>
      </w:r>
      <w:r>
        <w:rPr>
          <w:highlight w:val="none"/>
          <w:lang w:val="fr-FR"/>
          <w14:ligatures w14:val="none"/>
        </w:rPr>
      </w:r>
      <w:r>
        <w:rPr>
          <w:highlight w:val="none"/>
          <w:lang w:val="fr-FR"/>
          <w14:ligatures w14:val="none"/>
        </w:rPr>
      </w:r>
    </w:p>
    <w:p>
      <w:pPr>
        <w:pBdr/>
        <w:spacing/>
        <w:ind/>
        <w:rPr>
          <w:highlight w:val="none"/>
          <w14:ligatures w14:val="none"/>
        </w:rPr>
      </w:pPr>
      <w:r>
        <w:rPr>
          <w:highlight w:val="none"/>
          <w:lang w:val="fr-FR"/>
        </w:rPr>
        <w:t xml:space="preserve">Passage de la version 2.19 à la 2.27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>
          <w:rFonts w:ascii="Open Sans" w:hAnsi="Open Sans" w:eastAsia="Open Sans" w:cs="Open Sans"/>
          <w:highlight w:val="none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Image docker officielle de Geoserver</w:t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</w:p>
    <w:p>
      <w:pPr>
        <w:pStyle w:val="664"/>
        <w:pBdr/>
        <w:spacing/>
        <w:ind/>
        <w:rPr>
          <w14:ligatures w14:val="none"/>
        </w:rPr>
      </w:pPr>
      <w:r>
        <w:rPr>
          <w:highlight w:val="none"/>
          <w:lang w:val="fr-FR"/>
        </w:rPr>
        <w:t xml:space="preserve">Geonetwork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:rFonts w:ascii="Open Sans" w:hAnsi="Open Sans" w:cs="Open Sans"/>
          <w:highlight w:val="none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Passage de la version 3.12 à la 4.4.7</w:t>
      </w:r>
      <w:r>
        <w:rPr>
          <w:rFonts w:ascii="Open Sans" w:hAnsi="Open Sans" w:cs="Open Sans"/>
          <w:highlight w:val="none"/>
        </w:rPr>
      </w:r>
      <w:r>
        <w:rPr>
          <w:rFonts w:ascii="Open Sans" w:hAnsi="Open Sans" w:cs="Open Sans"/>
          <w:highlight w:val="none"/>
        </w:rPr>
      </w:r>
    </w:p>
    <w:p>
      <w:pPr>
        <w:pBdr/>
        <w:spacing/>
        <w:ind/>
        <w:rPr>
          <w:rFonts w:ascii="Open Sans" w:hAnsi="Open Sans" w:eastAsia="Open Sans" w:cs="Open Sans"/>
          <w:highlight w:val="none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Image docker officielle de Geonetwork</w:t>
      </w:r>
      <w:r>
        <w:rPr>
          <w:rFonts w:ascii="Open Sans" w:hAnsi="Open Sans" w:cs="Open Sans"/>
          <w:highlight w:val="none"/>
        </w:rPr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  <w:r>
        <w:rPr>
          <w:lang w:val="fr-FR"/>
        </w:rPr>
      </w:r>
    </w:p>
    <w:p>
      <w:pPr>
        <w:pStyle w:val="664"/>
        <w:pBdr/>
        <w:spacing/>
        <w:ind/>
        <w:rPr>
          <w:lang w:val="fr-FR"/>
        </w:rPr>
      </w:pPr>
      <w:r>
        <w:rPr>
          <w:lang w:val="fr-FR"/>
        </w:rPr>
        <w:t xml:space="preserve">GeoCMS</w:t>
      </w: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  <w:r>
        <w:rPr>
          <w:lang w:val="fr-FR"/>
        </w:rPr>
      </w:r>
    </w:p>
    <w:p>
      <w:pPr>
        <w:pStyle w:val="664"/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Abandon de GeoAuth au profit de Keycloak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Pour Geoserver : ajout d’un module communautaire 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</w:r>
      <w:r>
        <w:rPr>
          <w:highlight w:val="none"/>
          <w:lang w:val="fr-FR"/>
        </w:rPr>
        <w:t xml:space="preserve">https://docs.geoserver.org/main/en/user/community/oauth2/oauth2.html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Pour Geonetwork : module intégré dans l’image docker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</w:r>
      <w:r>
        <w:rPr>
          <w:highlight w:val="none"/>
          <w:lang w:val="fr-FR"/>
        </w:rPr>
        <w:t xml:space="preserve">https://docs.geonetwork-opensource.org/4.4/administrator-guide/managing-users-and-groups/authentication-mode/#authentication-openid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Pour GeoCMS : module démarré par l’équipe ECLA complété et adapté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Gestion des droits utilisateurs par le biais des groupes dans Keycloak :</w:t>
        <w:br/>
        <w:t xml:space="preserve">Groupe : tech-indigeoadm (administrateurs) / tech-indigeoed (editeurs pour Geonetwork))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Style w:val="664"/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DATA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Transfert des données hébergées sous observ-prod vers ?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Style w:val="842"/>
        <w:numPr>
          <w:ilvl w:val="0"/>
          <w:numId w:val="4"/>
        </w:numPr>
        <w:pBdr/>
        <w:spacing/>
        <w:ind/>
        <w:rPr>
          <w:highlight w:val="none"/>
          <w:lang w:val="fr-FR"/>
        </w:rPr>
      </w:pPr>
      <w:r>
        <w:rPr>
          <w:highlight w:val="none"/>
          <w:lang w:val="fr-FR"/>
        </w:rPr>
        <w:t xml:space="preserve">geoservice/appli/geonetwork ????? </w:t>
      </w:r>
      <w:r>
        <w:rPr>
          <w:highlight w:val="yellow"/>
          <w:lang w:val="fr-FR"/>
        </w:rPr>
        <w:t xml:space="preserve">TODO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Style w:val="842"/>
        <w:numPr>
          <w:ilvl w:val="0"/>
          <w:numId w:val="4"/>
        </w:numPr>
        <w:pBdr/>
        <w:spacing/>
        <w:ind/>
        <w:jc w:val="both"/>
        <w:rPr>
          <w:highlight w:val="none"/>
          <w:lang w:val="fr-FR"/>
        </w:rPr>
      </w:pPr>
      <w:r>
        <w:rPr>
          <w:highlight w:val="none"/>
          <w:lang w:val="fr-FR"/>
        </w:rPr>
        <w:t xml:space="preserve">geoservice/appli/geoserver. =&gt; geostack :/data/geoserver-xfr. CF Gros paragraphe avec du code. C’est pour le transfert, il faut ensuite les mettre en place comme il faut, ou utiliser, à partir de ces données des volumes docker adaptés. Penser au changement de propriétaire, non géré par les commandes.</w:t>
      </w:r>
      <w:r>
        <w:rPr>
          <w:highlight w:val="none"/>
          <w:lang w:val="fr-FR"/>
        </w:rPr>
      </w:r>
      <w:r>
        <w:rPr>
          <w:highlight w:val="none"/>
          <w:lang w:val="fr-FR"/>
        </w:rPr>
      </w:r>
    </w:p>
    <w:p>
      <w:pPr>
        <w:pBdr/>
        <w:tabs>
          <w:tab w:val="left" w:leader="none" w:pos="6605"/>
        </w:tabs>
        <w:spacing/>
        <w:ind/>
        <w:jc w:val="both"/>
        <w:rPr>
          <w:rFonts w:ascii="Open Sans" w:hAnsi="Open Sans" w:cs="Open Sans"/>
          <w:highlight w:val="none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Tri des données (cmartin) sur geostack, d’après un</w:t>
      </w:r>
      <w:r>
        <w:rPr>
          <w:rFonts w:ascii="Open Sans" w:hAnsi="Open Sans" w:eastAsia="Open Sans" w:cs="Open Sans"/>
          <w:highlight w:val="none"/>
          <w:lang w:val="fr-FR"/>
        </w:rPr>
        <w:t xml:space="preserve"> find –name datastor |sed . Les données identifiées étaient dans /data/.... qui est un symlink. Pour dockeriser, il faut identifier ces données et les sortir de /data (montage observ-prod). C’est fait, sur geostack les données sont locale. mais il reste </w:t>
      </w:r>
      <w:r>
        <w:rPr>
          <w:rFonts w:ascii="Open Sans" w:hAnsi="Open Sans" w:eastAsia="Open Sans" w:cs="Open Sans"/>
          <w:strike/>
          <w:highlight w:val="none"/>
          <w:lang w:val="fr-FR"/>
        </w:rPr>
        <w:t xml:space="preserve">.</w:t>
      </w:r>
      <w:r>
        <w:rPr>
          <w:rFonts w:ascii="Open Sans" w:hAnsi="Open Sans" w:eastAsia="Open Sans" w:cs="Open Sans"/>
          <w:strike/>
          <w:highlight w:val="none"/>
          <w:lang w:val="fr-FR"/>
        </w:rPr>
        <w:t xml:space="preserve"> </w:t>
      </w:r>
      <w:r>
        <w:rPr>
          <w:rFonts w:ascii="Open Sans" w:hAnsi="Open Sans" w:eastAsia="Open Sans" w:cs="Open Sans"/>
          <w:strike/>
          <w:highlight w:val="yellow"/>
          <w:lang w:val="fr-FR"/>
        </w:rPr>
        <w:t xml:space="preserve">TODO </w:t>
      </w:r>
      <w:r>
        <w:rPr>
          <w:rFonts w:ascii="Open Sans" w:hAnsi="Open Sans" w:eastAsia="Open Sans" w:cs="Open Sans"/>
          <w:strike/>
          <w:highlight w:val="yellow"/>
          <w:lang w:val="fr-FR"/>
        </w:rPr>
        <w:t xml:space="preserve">:</w:t>
      </w:r>
      <w:r>
        <w:rPr>
          <w:rFonts w:ascii="Open Sans" w:hAnsi="Open Sans" w:eastAsia="Open Sans" w:cs="Open Sans"/>
          <w:strike/>
          <w:highlight w:val="none"/>
          <w:lang w:val="fr-FR"/>
        </w:rPr>
        <w:t xml:space="preserve">(cmartin) regarder dans l’historique </w:t>
      </w:r>
      <w:r>
        <w:rPr>
          <w:rFonts w:ascii="Open Sans" w:hAnsi="Open Sans" w:eastAsia="Open Sans" w:cs="Open Sans"/>
          <w:strike/>
          <w:highlight w:val="none"/>
          <w:lang w:val="fr-FR"/>
        </w:rPr>
        <w:t xml:space="preserve">et trouver les commandes qui ont fait ce travail et les documenter ici. Les rejouer de temps en temps.</w:t>
      </w:r>
      <w:r>
        <w:rPr>
          <w:rFonts w:ascii="Open Sans" w:hAnsi="Open Sans" w:cs="Open Sans"/>
          <w:strike/>
          <w:highlight w:val="none"/>
          <w:lang w:val="fr-FR"/>
        </w:rPr>
      </w:r>
      <w:r>
        <w:rPr>
          <w:rFonts w:ascii="Open Sans" w:hAnsi="Open Sans" w:cs="Open Sans"/>
          <w:strike/>
          <w:highlight w:val="none"/>
          <w:lang w:val="fr-FR"/>
        </w:rPr>
      </w:r>
    </w:p>
    <w:p>
      <w:pPr>
        <w:pBdr/>
        <w:spacing/>
        <w:ind/>
        <w:rPr>
          <w:rFonts w:ascii="Open Sans" w:hAnsi="Open Sans" w:eastAsia="Open Sans" w:cs="Open Sans"/>
          <w:highlight w:val="none"/>
          <w:lang w:val="fr-FR"/>
        </w:rPr>
      </w:pPr>
      <w:r>
        <w:rPr>
          <w:rFonts w:ascii="Open Sans" w:hAnsi="Open Sans" w:eastAsia="Open Sans" w:cs="Open Sans"/>
          <w:lang w:val="fr-FR"/>
        </w:rPr>
        <w:t xml:space="preserve">Ben en fait, c’est fait. Le code ci-dessous fait des tas de choses, depuis observ-prod : </w:t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Rsync de /data/data/appli/geoserver vers nouveau serveur /data/geoserver-xfer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Copie de /data/data/appli/geoserver/workspace dans un dossier temporaire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Correction des liens &lt;entry key=url&gt;file:....&lt;/entry&gt;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Rsync de la version corrigée vers nouveau serveur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Génération d’une liste de fichiers d’entrep</w:t>
      </w:r>
      <w:r>
        <w:rPr>
          <w:rFonts w:ascii="Open Sans" w:hAnsi="Open Sans" w:eastAsia="Open Sans" w:cs="Open Sans"/>
          <w:highlight w:val="none"/>
          <w:lang w:val="fr-FR"/>
        </w:rPr>
        <w:t xml:space="preserve">ôts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842"/>
        <w:numPr>
          <w:ilvl w:val="0"/>
          <w:numId w:val="6"/>
        </w:num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Rsync vers nouveau serveur des fichiers et dossiers d’entrepôts</w:t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highlight w:val="none"/>
          <w:lang w:val="fr-FR"/>
        </w:rPr>
      </w:pPr>
      <w:r>
        <w:rPr>
          <w:rFonts w:ascii="Open Sans" w:hAnsi="Open Sans" w:eastAsia="Open Sans" w:cs="Open Sans"/>
          <w:highlight w:val="yellow"/>
          <w:lang w:val="fr-FR"/>
        </w:rPr>
        <w:t xml:space="preserve">TODO :</w:t>
      </w:r>
      <w:r>
        <w:rPr>
          <w:rFonts w:ascii="Open Sans" w:hAnsi="Open Sans" w:eastAsia="Open Sans" w:cs="Open Sans"/>
          <w:highlight w:val="none"/>
          <w:lang w:val="fr-FR"/>
        </w:rPr>
        <w:t xml:space="preserve"> </w:t>
      </w:r>
      <w:r>
        <w:rPr>
          <w:rFonts w:ascii="Open Sans" w:hAnsi="Open Sans" w:eastAsia="Open Sans" w:cs="Open Sans"/>
          <w:highlight w:val="none"/>
          <w:lang w:val="fr-FR"/>
        </w:rPr>
        <w:t xml:space="preserve">Il reste une chose à vérifier, c’est pour les entry fichier shapefile (</w:t>
      </w:r>
      <w:r>
        <w:rPr>
          <w:rFonts w:ascii="Open Sans" w:hAnsi="Open Sans" w:eastAsia="Open Sans" w:cs="Open Sans"/>
          <w:b/>
          <w:bCs/>
          <w:highlight w:val="none"/>
          <w:lang w:val="fr-FR"/>
        </w:rPr>
        <w:t xml:space="preserve">pas</w:t>
      </w:r>
      <w:r>
        <w:rPr>
          <w:rFonts w:ascii="Open Sans" w:hAnsi="Open Sans" w:eastAsia="Open Sans" w:cs="Open Sans"/>
          <w:highlight w:val="none"/>
          <w:lang w:val="fr-FR"/>
        </w:rPr>
        <w:t xml:space="preserve"> dossier de shapetfile, juste un fichier shapefile) : on ne prend que les fichiers qui portent le m</w:t>
      </w:r>
      <w:r>
        <w:rPr>
          <w:rFonts w:ascii="Open Sans" w:hAnsi="Open Sans" w:eastAsia="Open Sans" w:cs="Open Sans"/>
          <w:highlight w:val="none"/>
          <w:lang w:val="fr-FR"/>
        </w:rPr>
        <w:t xml:space="preserve">ême nom de base que le shapefile. Ie tous les .dbf,  .prj,  .qpj, .tralalaoutiouti etc... Peut-</w:t>
      </w:r>
      <w:r>
        <w:rPr>
          <w:rFonts w:ascii="Open Sans" w:hAnsi="Open Sans" w:eastAsia="Open Sans" w:cs="Open Sans"/>
          <w:highlight w:val="none"/>
          <w:lang w:val="fr-FR"/>
        </w:rPr>
        <w:t xml:space="preserve">être existe-t-il des cas où d’autres fichiers devraient </w:t>
      </w:r>
      <w:r>
        <w:rPr>
          <w:rFonts w:ascii="Open Sans" w:hAnsi="Open Sans" w:eastAsia="Open Sans" w:cs="Open Sans"/>
          <w:highlight w:val="none"/>
          <w:lang w:val="fr-FR"/>
        </w:rPr>
        <w:t xml:space="preserve">être transférés, les LLM chat indiquent que non, m’enfin j’aimerais bien qu’un expert humain me le confirme. Aussi, écrire une recherche de ce genre de problème potentiel.</w:t>
      </w: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eastAsia="Open Sans" w:cs="Open Sans"/>
          <w:highlight w:val="none"/>
          <w:lang w:val="fr-FR"/>
        </w:rPr>
      </w:r>
    </w:p>
    <w:p>
      <w:p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Style w:val="1_1884"/>
        <w:pBdr/>
        <w:spacing w:after="0" w:afterAutospacing="0" w:line="264" w:lineRule="auto"/>
        <w:ind/>
        <w:rPr>
          <w:highlight w:val="none"/>
          <w14:ligatures w14:val="none"/>
        </w:rPr>
      </w:pPr>
      <w:r>
        <w:rPr>
          <w:rFonts w:ascii="Open Sans" w:hAnsi="Open Sans" w:eastAsia="Open Sans" w:cs="Open Sans"/>
          <w:highlight w:val="none"/>
          <w:lang w:val="fr-FR"/>
        </w:rPr>
        <w:t xml:space="preserve">En attendant, voilà ce qu’on peut passer à tout moment, si on joue les commandes, ça rsync vers geostack:/data/geoserver-xfer.</w:t>
        <w:br/>
        <w:br/>
      </w:r>
      <w:r>
        <w:t xml:space="preserve">#! /bin/bash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_1884"/>
        <w:pBdr/>
        <w:spacing/>
        <w:ind/>
        <w:rPr/>
      </w:pPr>
      <w:r>
        <w:t xml:space="preserve"># vim: se ai ts=2 sw=2 et syntax=sh: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set -e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if test $(hostname) != 7iuem57; then</w:t>
      </w:r>
      <w:r/>
      <w:r/>
    </w:p>
    <w:p>
      <w:pPr>
        <w:pStyle w:val="1_1884"/>
        <w:pBdr/>
        <w:spacing/>
        <w:ind/>
        <w:rPr/>
      </w:pPr>
      <w:r>
        <w:t xml:space="preserve">  echo je ne fonctionne que sur 7iuem57 "(aka observ-prod)"</w:t>
      </w:r>
      <w:r/>
      <w:r/>
    </w:p>
    <w:p>
      <w:pPr>
        <w:pStyle w:val="1_1884"/>
        <w:pBdr/>
        <w:spacing/>
        <w:ind/>
        <w:rPr/>
      </w:pPr>
      <w:r>
        <w:t xml:space="preserve">  exit 2</w:t>
      </w:r>
      <w:r/>
      <w:r/>
    </w:p>
    <w:p>
      <w:pPr>
        <w:pStyle w:val="1_1884"/>
        <w:pBdr/>
        <w:shd w:val="clear" w:color="ffeeaa" w:fill="ffeeaa"/>
        <w:spacing/>
        <w:ind/>
        <w:rPr>
          <w14:ligatures w14:val="none"/>
        </w:rPr>
      </w:pPr>
      <w:r>
        <w:t xml:space="preserve">fi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:&lt;&lt;'EODOC'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Prépare la liste des datastore et des entrepots qu'ils désignent</w:t>
      </w:r>
      <w:r/>
      <w:r/>
    </w:p>
    <w:p>
      <w:pPr>
        <w:pStyle w:val="1_1884"/>
        <w:pBdr/>
        <w:spacing/>
        <w:ind/>
        <w:rPr/>
      </w:pPr>
      <w:r>
        <w:t xml:space="preserve">en but d'un transfert.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Le dossier workspace de geoserver est copié initialement et les</w:t>
      </w:r>
      <w:r/>
      <w:r/>
    </w:p>
    <w:p>
      <w:pPr>
        <w:pStyle w:val="1_1884"/>
        <w:pBdr/>
        <w:spacing/>
        <w:ind/>
        <w:rPr/>
      </w:pPr>
      <w:r>
        <w:t xml:space="preserve">fichiers datastore.xml sont modifiés pour avoir un contenu</w:t>
      </w:r>
      <w:r/>
      <w:r/>
    </w:p>
    <w:p>
      <w:pPr>
        <w:pStyle w:val="1_1884"/>
        <w:pBdr/>
        <w:spacing/>
        <w:ind/>
        <w:rPr/>
      </w:pPr>
      <w:r>
        <w:t xml:space="preserve">normalisé (tous commencent de la même manière).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NB dans ce script il existe 2 types de commentaires particuliers :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#debug#  : explicite, hein, je vous pas de dessin.</w:t>
      </w:r>
      <w:r/>
      <w:r/>
    </w:p>
    <w:p>
      <w:pPr>
        <w:pStyle w:val="1_1884"/>
        <w:pBdr/>
        <w:spacing/>
        <w:ind/>
        <w:rPr/>
      </w:pPr>
      <w:r>
        <w:t xml:space="preserve">#devel#  : les lignes sont commentées car je n'ai pas besoin</w:t>
      </w:r>
      <w:r/>
      <w:r/>
    </w:p>
    <w:p>
      <w:pPr>
        <w:pStyle w:val="1_1884"/>
        <w:pBdr/>
        <w:spacing/>
        <w:ind/>
        <w:rPr/>
      </w:pPr>
      <w:r>
        <w:t xml:space="preserve">           de les rejouer à chaque fois. Celles qui rsync ou</w:t>
      </w:r>
      <w:r/>
      <w:r/>
    </w:p>
    <w:p>
      <w:pPr>
        <w:pStyle w:val="1_1884"/>
        <w:pBdr/>
        <w:spacing/>
        <w:ind/>
        <w:rPr/>
      </w:pPr>
      <w:r>
        <w:t xml:space="preserve">           créent des fichiers d'état, comme par exemple le</w:t>
      </w:r>
      <w:r/>
      <w:r/>
    </w:p>
    <w:p>
      <w:pPr>
        <w:pStyle w:val="1_1884"/>
        <w:pBdr/>
        <w:spacing/>
        <w:ind/>
        <w:rPr/>
      </w:pPr>
      <w:r>
        <w:t xml:space="preserve">           fichier  /tmp/laliste-des-datastores-0, contenant</w:t>
      </w:r>
      <w:r/>
      <w:r/>
    </w:p>
    <w:p>
      <w:pPr>
        <w:pStyle w:val="1_1884"/>
        <w:pBdr/>
        <w:spacing/>
        <w:ind/>
        <w:rPr/>
      </w:pPr>
      <w:r>
        <w:t xml:space="preserve">           la liste des fichiers datastores.xml découverts.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ÉVIDEMMENT, il **FAUT** décommenter les #devel# pour faire les</w:t>
      </w:r>
      <w:r/>
      <w:r/>
    </w:p>
    <w:p>
      <w:pPr>
        <w:pStyle w:val="1_1884"/>
        <w:pBdr/>
        <w:spacing/>
        <w:ind/>
        <w:rPr/>
      </w:pPr>
      <w:r>
        <w:t xml:space="preserve">trucs en vrai. Les laisser commentées, c'est juste pour gagner</w:t>
      </w:r>
      <w:r/>
      <w:r/>
    </w:p>
    <w:p>
      <w:pPr>
        <w:pStyle w:val="1_1884"/>
        <w:pBdr/>
        <w:spacing/>
        <w:ind/>
        <w:rPr/>
      </w:pPr>
      <w:r>
        <w:t xml:space="preserve">du temps lors de la mise au point.</w:t>
      </w:r>
      <w:r/>
      <w:r/>
    </w:p>
    <w:p>
      <w:pPr>
        <w:pStyle w:val="1_1884"/>
        <w:pBdr/>
        <w:spacing/>
        <w:ind/>
        <w:rPr/>
      </w:pPr>
      <w:r>
        <w:t xml:space="preserve">EODOC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warn() { echo "$@" &gt;&amp;2; }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 Recopie du dossier workspace de geoserver dans un dossier temporaire</w:t>
      </w:r>
      <w:r/>
      <w:r/>
    </w:p>
    <w:p>
      <w:pPr>
        <w:pStyle w:val="1_1884"/>
        <w:pBdr/>
        <w:spacing/>
        <w:ind/>
        <w:rPr/>
      </w:pPr>
      <w:r>
        <w:t xml:space="preserve">warn "C'est pas gros /data/data/appli/geoserver/data/workspaces ~ 60 Mo"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cd /data/data/appli/geoserver/data/workspaces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#devel# install -d /tmp/copie-de-slash-data-workspaces</w:t>
      </w:r>
      <w:r/>
      <w:r/>
    </w:p>
    <w:p>
      <w:pPr>
        <w:pStyle w:val="1_1884"/>
        <w:pBdr/>
        <w:spacing/>
        <w:ind/>
        <w:rPr/>
      </w:pPr>
      <w:r>
        <w:t xml:space="preserve">#devel# rsync -a . /tmp/copie-de-slash-data-workspaces/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 Travail dans la copie uniquement</w:t>
      </w:r>
      <w:r/>
      <w:r/>
    </w:p>
    <w:p>
      <w:pPr>
        <w:pStyle w:val="1_1884"/>
        <w:pBdr/>
        <w:spacing/>
        <w:ind/>
        <w:rPr/>
      </w:pPr>
      <w:r>
        <w:t xml:space="preserve">cd /tmp/copie-de-slash-data-workspaces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 On cherche les datastore.xml de geoserver et ceux qui font</w:t>
      </w:r>
      <w:r/>
      <w:r/>
    </w:p>
    <w:p>
      <w:pPr>
        <w:pStyle w:val="1_1884"/>
        <w:pBdr/>
        <w:spacing/>
        <w:ind/>
        <w:rPr/>
      </w:pPr>
      <w:r>
        <w:t xml:space="preserve">warn référence à un fichier. les sources bdd ou WFS ne sont pas concernées.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#devel# find . -name datastore.xml -print0 &gt;/tmp/laliste-des-datastores-0</w:t>
      </w:r>
      <w:r/>
      <w:r/>
    </w:p>
    <w:p>
      <w:pPr>
        <w:pStyle w:val="1_1884"/>
        <w:pBdr/>
        <w:spacing/>
        <w:ind/>
        <w:rPr/>
      </w:pPr>
      <w:r>
        <w:t xml:space="preserve">#debug head -c 200 /tmp/laliste-des-datastores-0 | hexdump -C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#devel# &lt; /tmp/laliste-des-datastores-0 xargs -0 grep -l 'entry key="url"&gt;' |</w:t>
      </w:r>
      <w:r/>
      <w:r/>
    </w:p>
    <w:p>
      <w:pPr>
        <w:pStyle w:val="1_1884"/>
        <w:pBdr/>
        <w:spacing/>
        <w:ind/>
        <w:rPr/>
      </w:pPr>
      <w:r>
        <w:t xml:space="preserve">#devel#   tr \\n \\0  &gt;/tmp/laliste-avec-key=url-0</w:t>
      </w:r>
      <w:r/>
      <w:r/>
    </w:p>
    <w:p>
      <w:pPr>
        <w:pStyle w:val="1_1884"/>
        <w:pBdr/>
        <w:spacing/>
        <w:ind/>
        <w:rPr/>
      </w:pPr>
      <w:r>
        <w:t xml:space="preserve">#debug head -c 200 /tmp/laliste-avec-key=url-0 | hexdump -C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 correction des chemins dans les fichiers datastore.xml</w:t>
      </w:r>
      <w:r/>
      <w:r/>
    </w:p>
    <w:p>
      <w:pPr>
        <w:pStyle w:val="1_1884"/>
        <w:pBdr/>
        <w:spacing/>
        <w:ind/>
        <w:rPr/>
      </w:pPr>
      <w:r>
        <w:t xml:space="preserve"># ///data =&gt; /data</w:t>
      </w:r>
      <w:r/>
      <w:r/>
    </w:p>
    <w:p>
      <w:pPr>
        <w:pStyle w:val="1_1884"/>
        <w:pBdr/>
        <w:spacing/>
        <w:ind/>
        <w:rPr/>
      </w:pPr>
      <w:r>
        <w:t xml:space="preserve"># data =&gt; /data</w:t>
      </w:r>
      <w:r/>
      <w:r/>
    </w:p>
    <w:p>
      <w:pPr>
        <w:pStyle w:val="1_1884"/>
        <w:pBdr/>
        <w:spacing/>
        <w:ind/>
        <w:rPr/>
      </w:pPr>
      <w:r>
        <w:t xml:space="preserve"># /data/appli/geoserver/data/data/ =&gt; /data</w:t>
      </w:r>
      <w:r/>
      <w:r/>
    </w:p>
    <w:p>
      <w:pPr>
        <w:pStyle w:val="1_1884"/>
        <w:pBdr/>
        <w:spacing/>
        <w:ind/>
        <w:rPr/>
      </w:pPr>
      <w:r>
        <w:t xml:space="preserve"># on a lors tout normalisé en /data.</w:t>
      </w:r>
      <w:r/>
      <w:r/>
    </w:p>
    <w:p>
      <w:pPr>
        <w:pStyle w:val="1_1884"/>
        <w:pBdr/>
        <w:spacing/>
        <w:ind/>
        <w:rPr/>
      </w:pPr>
      <w:r>
        <w:t xml:space="preserve"># et au choix, pour la transformation finale :</w:t>
      </w:r>
      <w:r/>
      <w:r/>
    </w:p>
    <w:p>
      <w:pPr>
        <w:pStyle w:val="1_1884"/>
        <w:pBdr/>
        <w:spacing/>
        <w:ind/>
        <w:rPr/>
      </w:pPr>
      <w:r>
        <w:t xml:space="preserve"># /data =&gt; ///data ou data. à voir, c'est la dernière ligne du sed</w:t>
      </w:r>
      <w:r/>
      <w:r/>
    </w:p>
    <w:p>
      <w:pPr>
        <w:pStyle w:val="1_1884"/>
        <w:pBdr/>
        <w:spacing/>
        <w:ind/>
        <w:rPr/>
      </w:pPr>
      <w:r>
        <w:t xml:space="preserve"># qui décide. Si on enlève la dernière ligne, on reste avec /data.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#&lt; /tmp/laliste-avec-key=url-0 xargs -0 sed -i -e '</w:t>
      </w:r>
      <w:r/>
      <w:r/>
    </w:p>
    <w:p>
      <w:pPr>
        <w:pStyle w:val="1_1884"/>
        <w:pBdr/>
        <w:spacing/>
        <w:ind/>
        <w:rPr/>
      </w:pPr>
      <w:r>
        <w:t xml:space="preserve">#s,entry key="url"&gt;file:///,entry key="url"&gt;file:/,</w:t>
      </w:r>
      <w:r/>
      <w:r/>
    </w:p>
    <w:p>
      <w:pPr>
        <w:pStyle w:val="1_1884"/>
        <w:pBdr/>
        <w:spacing/>
        <w:ind/>
        <w:rPr/>
      </w:pPr>
      <w:r>
        <w:t xml:space="preserve">#s,entry key="url"&gt;file:data,entry key="url"&gt;file:/data,</w:t>
      </w:r>
      <w:r/>
      <w:r/>
    </w:p>
    <w:p>
      <w:pPr>
        <w:pStyle w:val="1_1884"/>
        <w:pBdr/>
        <w:spacing/>
        <w:ind/>
        <w:rPr/>
      </w:pPr>
      <w:r>
        <w:t xml:space="preserve">#s,entry key="url"&gt;file:/data/appli/geoserver/data/,entry key="url"&gt;file:/,</w:t>
      </w:r>
      <w:r/>
      <w:r/>
    </w:p>
    <w:p>
      <w:pPr>
        <w:pStyle w:val="1_1884"/>
        <w:pBdr/>
        <w:spacing/>
        <w:ind/>
        <w:rPr/>
      </w:pPr>
      <w:r>
        <w:t xml:space="preserve">#s,entry key="url"&gt;file:/data,entry key="url"&gt;file:data,'</w:t>
      </w:r>
      <w:r/>
      <w:r/>
    </w:p>
    <w:p>
      <w:pPr>
        <w:pStyle w:val="1_1884"/>
        <w:pBdr/>
        <w:spacing/>
        <w:ind/>
        <w:rPr/>
      </w:pPr>
      <w:r>
        <w:t xml:space="preserve">&lt; /tmp/laliste-avec-key=url-0 xargs -0 sed -i -e '</w:t>
      </w:r>
      <w:r/>
      <w:r/>
    </w:p>
    <w:p>
      <w:pPr>
        <w:pStyle w:val="1_1884"/>
        <w:pBdr/>
        <w:spacing/>
        <w:ind/>
        <w:rPr/>
      </w:pPr>
      <w:r>
        <w:t xml:space="preserve">s,entry key="url"&gt;file:///,entry key="url"&gt;file:/,</w:t>
      </w:r>
      <w:r/>
      <w:r/>
    </w:p>
    <w:p>
      <w:pPr>
        <w:pStyle w:val="1_1884"/>
        <w:pBdr/>
        <w:spacing/>
        <w:ind/>
        <w:rPr/>
      </w:pPr>
      <w:r>
        <w:t xml:space="preserve">s,entry key="url"&gt;file:data,entry key="url"&gt;file:/data,</w:t>
      </w:r>
      <w:r/>
      <w:r/>
    </w:p>
    <w:p>
      <w:pPr>
        <w:pStyle w:val="1_1884"/>
        <w:pBdr/>
        <w:spacing/>
        <w:ind/>
        <w:rPr/>
      </w:pPr>
      <w:r>
        <w:t xml:space="preserve">s,entry key="url"&gt;file:/data/appli/geoserver/data/,entry key="url"&gt;file:/,</w:t>
      </w:r>
      <w:r/>
      <w:r/>
    </w:p>
    <w:p>
      <w:pPr>
        <w:pStyle w:val="1_1884"/>
        <w:pBdr/>
        <w:spacing/>
        <w:ind/>
        <w:rPr/>
      </w:pPr>
      <w:r>
        <w:t xml:space="preserve">s,entry key="url"&gt;file:/data,entry key="url"&gt;file:///data,'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warn "Maintenant, créons une liste RELATIVE des fichiers d'entrepôts."</w:t>
      </w:r>
      <w:r/>
      <w:r/>
    </w:p>
    <w:p>
      <w:pPr>
        <w:pStyle w:val="1_1884"/>
        <w:pBdr/>
        <w:spacing/>
        <w:ind/>
        <w:rPr/>
      </w:pPr>
      <w:r>
        <w:t xml:space="preserve"># on extrait les entrepôts avec les url file:</w:t>
      </w:r>
      <w:r/>
      <w:r/>
    </w:p>
    <w:p>
      <w:pPr>
        <w:pStyle w:val="1_1884"/>
        <w:pBdr/>
        <w:spacing/>
        <w:ind/>
        <w:rPr/>
      </w:pPr>
      <w:r>
        <w:t xml:space="preserve">&lt; /tmp/laliste-avec-key=url-0 xargs -0 sed -ne '</w:t>
      </w:r>
      <w:r/>
      <w:r/>
    </w:p>
    <w:p>
      <w:pPr>
        <w:pStyle w:val="1_1884"/>
        <w:pBdr/>
        <w:spacing/>
        <w:ind/>
        <w:rPr/>
      </w:pPr>
      <w:r>
        <w:t xml:space="preserve">/entry key="url"&gt;file:/{</w:t>
      </w:r>
      <w:r/>
      <w:r/>
    </w:p>
    <w:p>
      <w:pPr>
        <w:pStyle w:val="1_1884"/>
        <w:pBdr/>
        <w:spacing/>
        <w:ind/>
        <w:rPr/>
      </w:pPr>
      <w:r>
        <w:t xml:space="preserve">  s/.*entry key="url"&gt;file://</w:t>
      </w:r>
      <w:r/>
      <w:r/>
    </w:p>
    <w:p>
      <w:pPr>
        <w:pStyle w:val="1_1884"/>
        <w:pBdr/>
        <w:spacing/>
        <w:ind/>
        <w:rPr/>
      </w:pPr>
      <w:r>
        <w:t xml:space="preserve">  s,&lt;/entry.*&gt;,,</w:t>
      </w:r>
      <w:r/>
      <w:r/>
    </w:p>
    <w:p>
      <w:pPr>
        <w:pStyle w:val="1_1884"/>
        <w:pBdr/>
        <w:spacing/>
        <w:ind/>
        <w:rPr/>
      </w:pPr>
      <w:r>
        <w:t xml:space="preserve">  s,^/*,,</w:t>
      </w:r>
      <w:r/>
      <w:r/>
    </w:p>
    <w:p>
      <w:pPr>
        <w:pStyle w:val="1_1884"/>
        <w:pBdr/>
        <w:spacing/>
        <w:ind/>
        <w:rPr/>
      </w:pPr>
      <w:r>
        <w:t xml:space="preserve">  p</w:t>
      </w:r>
      <w:r/>
      <w:r/>
    </w:p>
    <w:p>
      <w:pPr>
        <w:pStyle w:val="1_1884"/>
        <w:pBdr/>
        <w:spacing/>
        <w:ind/>
        <w:rPr/>
      </w:pPr>
      <w:r>
        <w:t xml:space="preserve">}</w:t>
      </w:r>
      <w:r/>
      <w:r/>
    </w:p>
    <w:p>
      <w:pPr>
        <w:pStyle w:val="1_1884"/>
        <w:pBdr/>
        <w:spacing/>
        <w:ind/>
        <w:rPr/>
      </w:pPr>
      <w:r>
        <w:t xml:space="preserve">' | tr \\n \\0 &gt;/tmp/laliste-des-entrepots-0</w:t>
      </w:r>
      <w:r/>
      <w:r/>
    </w:p>
    <w:p>
      <w:pPr>
        <w:pStyle w:val="1_1884"/>
        <w:pBdr/>
        <w:spacing/>
        <w:ind/>
        <w:rPr/>
      </w:pPr>
      <w:r>
        <w:t xml:space="preserve">#debug# tr \\0 \\n &lt; /tmp/laliste-des-entrepots-0 |head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set +x</w:t>
      </w:r>
      <w:r/>
      <w:r/>
    </w:p>
    <w:p>
      <w:pPr>
        <w:pStyle w:val="1_1884"/>
        <w:pBdr/>
        <w:spacing/>
        <w:ind/>
        <w:rPr/>
      </w:pPr>
      <w:r>
        <w:t xml:space="preserve">warn Fabrication de la list0 des fichiers composant exactement les entrepots.</w:t>
      </w:r>
      <w:r/>
      <w:r/>
    </w:p>
    <w:p>
      <w:pPr>
        <w:pStyle w:val="1_1884"/>
        <w:pBdr/>
        <w:spacing/>
        <w:ind/>
        <w:rPr/>
      </w:pPr>
      <w:r>
        <w:t xml:space="preserve"># Si c'est un dossier, on prend tout le dossier</w:t>
      </w:r>
      <w:r/>
      <w:r/>
    </w:p>
    <w:p>
      <w:pPr>
        <w:pStyle w:val="1_1884"/>
        <w:pBdr/>
        <w:spacing/>
        <w:ind/>
        <w:rPr/>
      </w:pPr>
      <w:r>
        <w:t xml:space="preserve"># Si c'est un fichier on prend tous les fichiers qui ont même</w:t>
      </w:r>
      <w:r/>
      <w:r/>
    </w:p>
    <w:p>
      <w:pPr>
        <w:pStyle w:val="1_1884"/>
        <w:pBdr/>
        <w:spacing/>
        <w:ind/>
        <w:rPr/>
      </w:pPr>
      <w:r>
        <w:t xml:space="preserve"># nom de base sans tenir compte des extensions.</w:t>
      </w:r>
      <w:r/>
      <w:r/>
    </w:p>
    <w:p>
      <w:pPr>
        <w:pStyle w:val="1_1884"/>
        <w:pBdr/>
        <w:spacing/>
        <w:ind/>
        <w:rPr/>
      </w:pPr>
      <w:r>
        <w:t xml:space="preserve">exec 3&gt;/tmp/laliste-des-fichiers-entrepots-a-transferer-0</w:t>
      </w:r>
      <w:r/>
      <w:r/>
    </w:p>
    <w:p>
      <w:pPr>
        <w:pStyle w:val="1_1884"/>
        <w:pBdr/>
        <w:spacing/>
        <w:ind/>
        <w:rPr/>
      </w:pPr>
      <w:r>
        <w:t xml:space="preserve">while read -r -d '' entrepot</w:t>
      </w:r>
      <w:r/>
      <w:r/>
    </w:p>
    <w:p>
      <w:pPr>
        <w:pStyle w:val="1_1884"/>
        <w:pBdr/>
        <w:spacing/>
        <w:ind/>
        <w:rPr/>
      </w:pPr>
      <w:r>
        <w:t xml:space="preserve">do</w:t>
      </w:r>
      <w:r/>
      <w:r/>
    </w:p>
    <w:p>
      <w:pPr>
        <w:pStyle w:val="1_1884"/>
        <w:pBdr/>
        <w:spacing/>
        <w:ind/>
        <w:rPr/>
      </w:pPr>
      <w:r>
        <w:t xml:space="preserve">  signe=F</w:t>
      </w:r>
      <w:r/>
      <w:r/>
    </w:p>
    <w:p>
      <w:pPr>
        <w:pStyle w:val="1_1884"/>
        <w:pBdr/>
        <w:spacing/>
        <w:ind/>
        <w:rPr/>
      </w:pPr>
      <w:r>
        <w:t xml:space="preserve">  test -d /data/"$entrepot" &amp;&amp; signe=D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  #debug# echo "entrepot : $signe : $entrepot"</w:t>
      </w:r>
      <w:r/>
      <w:r/>
    </w:p>
    <w:p>
      <w:pPr>
        <w:pStyle w:val="1_1884"/>
        <w:pBdr/>
        <w:spacing/>
        <w:ind/>
        <w:rPr/>
      </w:pPr>
      <w:r>
        <w:t xml:space="preserve">  if test $signe = F; then</w:t>
      </w:r>
      <w:r/>
      <w:r/>
    </w:p>
    <w:p>
      <w:pPr>
        <w:pStyle w:val="1_1884"/>
        <w:pBdr/>
        <w:spacing/>
        <w:ind/>
        <w:rPr/>
      </w:pPr>
      <w:r>
        <w:t xml:space="preserve">    basename=${entrepot%.*}</w:t>
      </w:r>
      <w:r/>
      <w:r/>
    </w:p>
    <w:p>
      <w:pPr>
        <w:pStyle w:val="1_1884"/>
        <w:pBdr/>
        <w:spacing/>
        <w:ind/>
        <w:rPr/>
      </w:pPr>
      <w:r>
        <w:t xml:space="preserve">    #debug# printf "         : C : %s\n" "/data/${basename}"*</w:t>
      </w:r>
      <w:r/>
      <w:r/>
    </w:p>
    <w:p>
      <w:pPr>
        <w:pStyle w:val="1_1884"/>
        <w:pBdr/>
        <w:spacing/>
        <w:ind/>
        <w:rPr/>
      </w:pPr>
      <w:r>
        <w:t xml:space="preserve">    printf '%s\n' "/data/${basename}"* | sed -e s,^/,, |</w:t>
      </w:r>
      <w:r/>
      <w:r/>
    </w:p>
    <w:p>
      <w:pPr>
        <w:pStyle w:val="1_1884"/>
        <w:pBdr/>
        <w:spacing/>
        <w:ind/>
        <w:rPr/>
      </w:pPr>
      <w:r>
        <w:t xml:space="preserve">          </w:t>
      </w:r>
      <w:r>
        <w:t xml:space="preserve"> tr \\n \\0 &gt;&amp;3</w:t>
      </w:r>
      <w:r/>
      <w:r/>
    </w:p>
    <w:p>
      <w:pPr>
        <w:pStyle w:val="1_1884"/>
        <w:pBdr/>
        <w:spacing/>
        <w:ind/>
        <w:rPr/>
      </w:pPr>
      <w:r>
        <w:t xml:space="preserve">  else</w:t>
      </w:r>
      <w:r/>
      <w:r/>
    </w:p>
    <w:p>
      <w:pPr>
        <w:pStyle w:val="1_1884"/>
        <w:pBdr/>
        <w:spacing/>
        <w:ind/>
        <w:rPr/>
      </w:pPr>
      <w:r>
        <w:t xml:space="preserve">    printf '%s\0' "data/${entrepot}" &gt;&amp;3</w:t>
      </w:r>
      <w:r/>
      <w:r/>
    </w:p>
    <w:p>
      <w:pPr>
        <w:pStyle w:val="1_1884"/>
        <w:pBdr/>
        <w:spacing/>
        <w:ind/>
        <w:rPr/>
      </w:pPr>
      <w:r>
        <w:t xml:space="preserve">  fi</w:t>
      </w:r>
      <w:r/>
      <w:r/>
    </w:p>
    <w:p>
      <w:pPr>
        <w:pStyle w:val="1_1884"/>
        <w:pBdr/>
        <w:spacing/>
        <w:ind/>
        <w:rPr/>
      </w:pPr>
      <w:r>
        <w:t xml:space="preserve">done &lt; /tmp/laliste-des-entrepots-0</w:t>
      </w:r>
      <w:r/>
      <w:r/>
    </w:p>
    <w:p>
      <w:pPr>
        <w:pStyle w:val="1_1884"/>
        <w:pBdr/>
        <w:spacing/>
        <w:ind/>
        <w:rPr/>
      </w:pPr>
      <w:r>
        <w:t xml:space="preserve">exec 3&gt;&amp;-</w:t>
      </w:r>
      <w:r/>
      <w:r/>
    </w:p>
    <w:p>
      <w:pPr>
        <w:pStyle w:val="1_1884"/>
        <w:pBdr/>
        <w:spacing/>
        <w:ind/>
        <w:rPr/>
      </w:pPr>
      <w:r/>
      <w:r/>
      <w:r/>
    </w:p>
    <w:p>
      <w:pPr>
        <w:pStyle w:val="1_1884"/>
        <w:pBdr/>
        <w:spacing/>
        <w:ind/>
        <w:rPr/>
      </w:pPr>
      <w:r>
        <w:t xml:space="preserve">echo "Resultat : "</w:t>
      </w:r>
      <w:r/>
      <w:r/>
    </w:p>
    <w:p>
      <w:pPr>
        <w:pStyle w:val="1_1884"/>
        <w:pBdr/>
        <w:spacing/>
        <w:ind/>
        <w:rPr/>
      </w:pPr>
      <w:r>
        <w:t xml:space="preserve">echo "Le dossier workspace à transférer :"</w:t>
      </w:r>
      <w:r/>
      <w:r/>
    </w:p>
    <w:p>
      <w:pPr>
        <w:pStyle w:val="1_1884"/>
        <w:pBdr/>
        <w:spacing/>
        <w:ind/>
        <w:rPr/>
      </w:pPr>
      <w:r>
        <w:t xml:space="preserve">echo "  /tmp/copie-de-slash-data-workspaces"</w:t>
      </w:r>
      <w:r/>
      <w:r/>
    </w:p>
    <w:p>
      <w:pPr>
        <w:pStyle w:val="1_1884"/>
        <w:pBdr/>
        <w:spacing/>
        <w:ind/>
        <w:rPr/>
      </w:pPr>
      <w:r>
        <w:t xml:space="preserve">echo "  C'est le dossier workspaces de geoserver, initialement :"</w:t>
      </w:r>
      <w:r/>
      <w:r/>
    </w:p>
    <w:p>
      <w:pPr>
        <w:pStyle w:val="1_1884"/>
        <w:pBdr/>
        <w:spacing/>
        <w:ind/>
        <w:rPr/>
      </w:pPr>
      <w:r>
        <w:t xml:space="preserve">echo "    /data/data/appli/geoserver/data/workspaces"</w:t>
      </w:r>
      <w:r/>
      <w:r/>
    </w:p>
    <w:p>
      <w:pPr>
        <w:pStyle w:val="1_1884"/>
        <w:pBdr/>
        <w:spacing/>
        <w:ind/>
        <w:rPr/>
      </w:pPr>
      <w:r>
        <w:t xml:space="preserve">echo "La liste des fichiers entrepots :"</w:t>
      </w:r>
      <w:r/>
      <w:r/>
    </w:p>
    <w:p>
      <w:pPr>
        <w:pStyle w:val="1_1884"/>
        <w:pBdr/>
        <w:spacing/>
        <w:ind/>
        <w:rPr/>
      </w:pPr>
      <w:r>
        <w:t xml:space="preserve">echo "  /tmp/laliste-des-fichiers-entrepots-a-transferer-0"</w:t>
      </w:r>
      <w:r/>
      <w:r/>
    </w:p>
    <w:p>
      <w:pPr>
        <w:pStyle w:val="1_1884"/>
        <w:pBdr/>
        <w:spacing/>
        <w:ind/>
        <w:rPr/>
      </w:pPr>
      <w:r>
        <w:t xml:space="preserve">echo "  séparateur est \\0 pour autoriser les espaces dans"</w:t>
      </w:r>
      <w:r/>
      <w:r/>
    </w:p>
    <w:p>
      <w:pPr>
        <w:pStyle w:val="1_1884"/>
        <w:pBdr/>
        <w:spacing/>
        <w:ind/>
        <w:rPr/>
      </w:pPr>
      <w:r>
        <w:t xml:space="preserve">echo "  les noms de fichiers"</w:t>
      </w:r>
      <w:r/>
      <w:r/>
    </w:p>
    <w:p>
      <w:pPr>
        <w:pStyle w:val="1_1884"/>
        <w:pBdr/>
        <w:spacing/>
        <w:ind/>
        <w:rPr/>
      </w:pPr>
      <w:r>
        <w:t xml:space="preserve">echo</w:t>
      </w:r>
      <w:r/>
      <w:r/>
    </w:p>
    <w:p>
      <w:pPr>
        <w:pStyle w:val="1_1884"/>
        <w:pBdr/>
        <w:spacing/>
        <w:ind/>
        <w:rPr/>
      </w:pPr>
      <w:r>
        <w:t xml:space="preserve">echo "Commandes de transfert :"</w:t>
      </w:r>
      <w:r/>
      <w:r/>
    </w:p>
    <w:p>
      <w:pPr>
        <w:pStyle w:val="1_1884"/>
        <w:pBdr/>
        <w:spacing/>
        <w:ind/>
        <w:rPr/>
      </w:pPr>
      <w:r>
        <w:t xml:space="preserve">destination=root@geostack:/data/geoserver-xfer</w:t>
      </w:r>
      <w:r/>
      <w:r/>
    </w:p>
    <w:p>
      <w:pPr>
        <w:pStyle w:val="1_1884"/>
        <w:pBdr/>
        <w:spacing/>
        <w:ind/>
        <w:rPr/>
      </w:pPr>
      <w:r>
        <w:t xml:space="preserve">echo "ssh root@geostack install -d /data/geoserver-xfer \\"</w:t>
      </w:r>
      <w:r/>
      <w:r/>
    </w:p>
    <w:p>
      <w:pPr>
        <w:pStyle w:val="1_1884"/>
        <w:pBdr/>
        <w:spacing/>
        <w:ind/>
        <w:rPr/>
      </w:pPr>
      <w:r>
        <w:t xml:space="preserve">echo "    /data/geoserver-xfer/entrepots-data"</w:t>
      </w:r>
      <w:r/>
      <w:r/>
    </w:p>
    <w:p>
      <w:pPr>
        <w:pStyle w:val="1_1884"/>
        <w:pBdr/>
        <w:spacing/>
        <w:ind/>
        <w:rPr/>
      </w:pPr>
      <w:r>
        <w:t xml:space="preserve">echo "rsync -a /data/data/appli/geoserver $destination/"</w:t>
      </w:r>
      <w:r/>
      <w:r/>
    </w:p>
    <w:p>
      <w:pPr>
        <w:pStyle w:val="1_1884"/>
        <w:pBdr/>
        <w:spacing/>
        <w:ind/>
        <w:rPr/>
      </w:pPr>
      <w:r>
        <w:t xml:space="preserve">echo "rsync -a /tmp/copie-de-slash-data-workspaces/ $destination/geoserver/data/workspaces/"</w:t>
      </w:r>
      <w:r/>
      <w:r/>
    </w:p>
    <w:p>
      <w:pPr>
        <w:pStyle w:val="1_1884"/>
        <w:pBdr/>
        <w:spacing/>
        <w:ind/>
        <w:rPr/>
      </w:pPr>
      <w:r>
        <w:t xml:space="preserve">echo "rsync -a \\"</w:t>
      </w:r>
      <w:r/>
      <w:r/>
    </w:p>
    <w:p>
      <w:pPr>
        <w:pStyle w:val="1_1884"/>
        <w:pBdr/>
        <w:spacing/>
        <w:ind/>
        <w:rPr/>
      </w:pPr>
      <w:r>
        <w:t xml:space="preserve">echo "  --files-from=/tmp/laliste-des-fichiers-entrepots-a-transferer-0 \\"</w:t>
      </w:r>
      <w:r/>
      <w:r/>
    </w:p>
    <w:p>
      <w:pPr>
        <w:pStyle w:val="1_1884"/>
        <w:pBdr/>
        <w:spacing/>
        <w:ind/>
        <w:rPr/>
      </w:pPr>
      <w:r>
        <w:t xml:space="preserve">echo "  --from0 / $destination/entrepots-data"</w:t>
      </w:r>
      <w:r/>
      <w:r/>
    </w:p>
    <w:p>
      <w:pPr>
        <w:pBdr/>
        <w:spacing/>
        <w:ind/>
        <w:rPr>
          <w:rFonts w:ascii="Open Sans" w:hAnsi="Open Sans" w:cs="Open Sans"/>
          <w:lang w:val="fr-FR"/>
        </w:rPr>
      </w:pPr>
      <w:r>
        <w:rPr>
          <w:rFonts w:ascii="Open Sans" w:hAnsi="Open Sans" w:eastAsia="Open Sans" w:cs="Open Sans"/>
          <w:highlight w:val="none"/>
          <w:lang w:val="fr-FR"/>
        </w:rPr>
      </w:r>
      <w:r>
        <w:rPr>
          <w:rFonts w:ascii="Open Sans" w:hAnsi="Open Sans" w:cs="Open Sans"/>
          <w:lang w:val="fr-FR"/>
        </w:rPr>
      </w:r>
      <w:r>
        <w:rPr>
          <w:rFonts w:ascii="Open Sans" w:hAnsi="Open Sans" w:cs="Open Sans"/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Open Sans">
    <w:panose1 w:val="020B0606030504020204"/>
  </w:font>
  <w:font w:name="Symbol">
    <w:panose1 w:val="05010000000000000000"/>
  </w:font>
  <w:font w:name="Open Sans Semibold">
    <w:panose1 w:val="020B0706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Open Sans Semibold" w:hAnsi="Open Sans Semibold" w:eastAsia="Open Sans Semibold" w:cs="Open Sans Semibold"/>
      <w:color w:val="22b3c9" w:themeColor="background2" w:themeShade="80"/>
      <w:sz w:val="34"/>
      <w:lang w:val="fr-FR"/>
    </w:rPr>
  </w:style>
  <w:style w:type="character" w:styleId="665">
    <w:name w:val="Heading 2 Char"/>
    <w:link w:val="664"/>
    <w:uiPriority w:val="9"/>
    <w:pPr>
      <w:pBdr/>
      <w:spacing/>
      <w:ind/>
    </w:pPr>
    <w:rPr>
      <w:rFonts w:ascii="Open Sans Semibold" w:hAnsi="Open Sans Semibold" w:eastAsia="Open Sans Semibold" w:cs="Open Sans Semibold"/>
      <w:lang w:val="fr-FR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1">
    <w:name w:val="Title Char"/>
    <w:link w:val="680"/>
    <w:uiPriority w:val="10"/>
    <w:pPr>
      <w:pBdr/>
      <w:spacing/>
      <w:ind/>
    </w:pPr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3">
    <w:name w:val="Subtitle Char"/>
    <w:link w:val="682"/>
    <w:uiPriority w:val="11"/>
    <w:pPr>
      <w:pBdr/>
      <w:spacing/>
      <w:ind/>
    </w:pPr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pBdr/>
      <w:spacing/>
      <w:ind w:right="720" w:left="720"/>
    </w:pPr>
    <w:rPr>
      <w:i/>
    </w:rPr>
  </w:style>
  <w:style w:type="character" w:styleId="685">
    <w:name w:val="Quote Char"/>
    <w:link w:val="684"/>
    <w:uiPriority w:val="29"/>
    <w:pPr>
      <w:pBdr/>
      <w:spacing/>
      <w:ind/>
    </w:pPr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7">
    <w:name w:val="Intense Quote Char"/>
    <w:link w:val="686"/>
    <w:uiPriority w:val="30"/>
    <w:pPr>
      <w:pBdr/>
      <w:spacing/>
      <w:ind/>
    </w:pPr>
    <w:rPr>
      <w:i/>
    </w:rPr>
  </w:style>
  <w:style w:type="paragraph" w:styleId="688">
    <w:name w:val="Header"/>
    <w:basedOn w:val="838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Header Char"/>
    <w:link w:val="688"/>
    <w:uiPriority w:val="99"/>
    <w:pPr>
      <w:pBdr/>
      <w:spacing/>
      <w:ind/>
    </w:pPr>
  </w:style>
  <w:style w:type="paragraph" w:styleId="690">
    <w:name w:val="Footer"/>
    <w:basedOn w:val="838"/>
    <w:link w:val="6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1">
    <w:name w:val="Footer Char"/>
    <w:link w:val="690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  <w:pPr>
      <w:pBdr/>
      <w:spacing/>
      <w:ind/>
    </w:pPr>
  </w:style>
  <w:style w:type="table" w:styleId="694">
    <w:name w:val="Table Grid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9e3fb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9e3fb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7e2fb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0bef5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0bef5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c6e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79da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79da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09dd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09dd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09dd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09dd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8faf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84f4f9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84f4f9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0bd0d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0bd0d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0bd0d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0bd0d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fbed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f6d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f6d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10cf9b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10cf9b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10cf9b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10cf9b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4f4d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3e7b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3e7b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df3da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6e3a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6e3a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6ec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6ec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e6ec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6ec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67a7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67a7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67a7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67a7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2832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e6ec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7e2fb" w:themeFill="accent1" w:themeFillTint="34"/>
        <w:tcBorders/>
      </w:tcPr>
    </w:tblStylePr>
    <w:tblStylePr w:type="band2Horz">
      <w:rPr>
        <w:rFonts w:ascii="Arial" w:hAnsi="Arial"/>
        <w:color w:val="0e6ec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6ec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e6ec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6ec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6ec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Horz">
      <w:rPr>
        <w:rFonts w:ascii="Arial" w:hAnsi="Arial"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67a7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Horz">
      <w:rPr>
        <w:rFonts w:ascii="Arial" w:hAnsi="Arial"/>
        <w:color w:val="067a7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67a7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67a7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67a7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67a7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Horz">
      <w:rPr>
        <w:rFonts w:ascii="Arial" w:hAnsi="Arial"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2832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Horz">
      <w:rPr>
        <w:rFonts w:ascii="Arial" w:hAnsi="Arial"/>
        <w:color w:val="42832c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832c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2832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832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832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62752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Horz">
      <w:rPr>
        <w:rFonts w:ascii="Arial" w:hAnsi="Arial"/>
        <w:color w:val="62752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2752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62752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2752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2752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5ff0f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0dfa0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9db9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09dd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0bd0d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10cf9b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f6fc6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f6fc6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51c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5ff0f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5ff0f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5ff0f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5ff0f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5ff0f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5ef3ca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0dfa0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0dfa0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0dfa0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0dfa0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0dfa0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9db9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9db9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9db9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9db9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9db9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941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941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941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941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c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ab6b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ab6b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0ab6b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ab6b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b78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5a73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5a73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5a73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5a73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6a0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6a0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86a0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6a0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adbfa" w:themeFill="accent1" w:themeFillTint="40"/>
        <w:tcBorders/>
      </w:tcPr>
    </w:tblStylePr>
    <w:tblStylePr w:type="band2Horz">
      <w:rPr>
        <w:rFonts w:ascii="Arial" w:hAnsi="Arial"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941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941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b5ebff" w:themeFill="accent2" w:themeFillTint="40"/>
        <w:tcBorders/>
      </w:tcPr>
    </w:tblStylePr>
    <w:tblStylePr w:type="band2Horz">
      <w:rPr>
        <w:rFonts w:ascii="Arial" w:hAnsi="Arial"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8ec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cf9fc" w:themeFill="accent3" w:themeFillTint="40"/>
        <w:tcBorders/>
      </w:tcPr>
    </w:tblStylePr>
    <w:tblStylePr w:type="band2Horz">
      <w:rPr>
        <w:rFonts w:ascii="Arial" w:hAnsi="Arial"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ab6b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ab6b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cfae9" w:themeFill="accent4" w:themeFillTint="40"/>
        <w:tcBorders/>
      </w:tcPr>
    </w:tblStylePr>
    <w:tblStylePr w:type="band2Horz">
      <w:rPr>
        <w:rFonts w:ascii="Arial" w:hAnsi="Arial"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b78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ef2d8" w:themeFill="accent5" w:themeFillTint="40"/>
        <w:tcBorders/>
      </w:tcPr>
    </w:tblStylePr>
    <w:tblStylePr w:type="band2Horz">
      <w:rPr>
        <w:rFonts w:ascii="Arial" w:hAnsi="Arial"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5a73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5a73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8f0d1" w:themeFill="accent6" w:themeFillTint="40"/>
        <w:tcBorders/>
      </w:tcPr>
    </w:tblStylePr>
    <w:tblStylePr w:type="band2Horz">
      <w:rPr>
        <w:rFonts w:ascii="Arial" w:hAnsi="Arial"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6a0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6a0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8d2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8d2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8d2f8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8d2f8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17cdd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c6e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51c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8faf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0bd1d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fbed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5ef3ca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4f4d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7cca62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df3da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a5c24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qFormat/>
    <w:pPr>
      <w:pBdr/>
      <w:spacing/>
      <w:ind/>
    </w:pPr>
    <w:rPr>
      <w:rFonts w:ascii="Open Sans" w:hAnsi="Open Sans" w:eastAsia="Open Sans" w:cs="Open Sans"/>
      <w:sz w:val="24"/>
      <w:szCs w:val="24"/>
      <w:lang w:val="fr-FR"/>
    </w:rPr>
  </w:style>
  <w:style w:type="table" w:styleId="8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paragraph" w:styleId="841">
    <w:name w:val="No Spacing"/>
    <w:basedOn w:val="838"/>
    <w:uiPriority w:val="1"/>
    <w:qFormat/>
    <w:pPr>
      <w:pBdr/>
      <w:spacing w:after="0" w:line="240" w:lineRule="auto"/>
      <w:ind/>
    </w:pPr>
  </w:style>
  <w:style w:type="paragraph" w:styleId="842">
    <w:name w:val="List Paragraph"/>
    <w:basedOn w:val="838"/>
    <w:uiPriority w:val="34"/>
    <w:qFormat/>
    <w:pPr>
      <w:pBdr/>
      <w:spacing/>
      <w:ind w:left="720"/>
      <w:contextualSpacing w:val="true"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paragraph" w:styleId="1_1884" w:customStyle="1">
    <w:name w:val="code"/>
    <w:basedOn w:val="660"/>
    <w:link w:val="1_54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eeaa" w:fill="ffeeaa"/>
      <w:spacing w:after="0" w:afterAutospacing="0" w:before="0" w:beforeAutospacing="0" w:line="264" w:lineRule="auto"/>
      <w:ind w:right="0" w:firstLine="0" w:left="0"/>
      <w:contextualSpacing w:val="false"/>
      <w:jc w:val="left"/>
    </w:pPr>
    <w:rPr>
      <w:rFonts w:ascii="Courier" w:hAnsi="Courier" w:eastAsia="Courier" w:cs="Courie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fr-F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ersio.iuem.eu/indigeo/geostack/-/blob/dev/docker-compose.yml?ref_type=heads" TargetMode="External"/><Relationship Id="rId10" Type="http://schemas.openxmlformats.org/officeDocument/2006/relationships/hyperlink" Target="https://geostack.iuem.eu/geoserver/web/" TargetMode="External"/><Relationship Id="rId11" Type="http://schemas.openxmlformats.org/officeDocument/2006/relationships/hyperlink" Target="https://geostack.iuem.eu/geonetwork/web/" TargetMode="External"/><Relationship Id="rId12" Type="http://schemas.openxmlformats.org/officeDocument/2006/relationships/hyperlink" Target="https://geostack.iuem.eu/geoserver/web/" TargetMode="External"/><Relationship Id="rId13" Type="http://schemas.openxmlformats.org/officeDocument/2006/relationships/hyperlink" Target="https://geostack.iuem.eu/geonetwork/web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Flow">
      <a:dk1>
        <a:srgbClr val="000000"/>
      </a:dk1>
      <a:lt1>
        <a:srgbClr val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Martin Christophe</cp:lastModifiedBy>
  <cp:revision>5</cp:revision>
  <dcterms:modified xsi:type="dcterms:W3CDTF">2025-05-25T16:48:52Z</dcterms:modified>
</cp:coreProperties>
</file>